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5A16" w:rsidRDefault="00362CC9" w:rsidP="00C401BA">
      <w:pPr>
        <w:spacing w:after="0" w:line="259" w:lineRule="auto"/>
        <w:ind w:left="0" w:right="0" w:firstLine="0"/>
        <w:rPr>
          <w:rFonts w:ascii="Cambria" w:hAnsi="Cambria"/>
          <w:b/>
          <w:color w:val="365F91"/>
          <w:sz w:val="28"/>
        </w:rPr>
      </w:pPr>
      <w:bookmarkStart w:id="0" w:name="_GoBack"/>
      <w:bookmarkEnd w:id="0"/>
      <w:r w:rsidRPr="00815A16">
        <w:rPr>
          <w:rFonts w:ascii="Cambria" w:hAnsi="Cambria"/>
          <w:b/>
          <w:color w:val="365F91"/>
          <w:sz w:val="28"/>
        </w:rPr>
        <w:t xml:space="preserve">MUNICIPIO DE </w:t>
      </w:r>
      <w:r w:rsidR="00082420">
        <w:rPr>
          <w:rFonts w:ascii="Cambria" w:hAnsi="Cambria"/>
          <w:b/>
          <w:color w:val="365F91"/>
          <w:sz w:val="28"/>
        </w:rPr>
        <w:t>AGUASCALIENTES</w:t>
      </w:r>
    </w:p>
    <w:p w:rsidR="00362CC9" w:rsidRPr="00815A16" w:rsidRDefault="00362CC9" w:rsidP="00C401BA">
      <w:pPr>
        <w:spacing w:after="0" w:line="259" w:lineRule="auto"/>
        <w:ind w:left="0" w:right="0" w:firstLine="0"/>
        <w:rPr>
          <w:rFonts w:ascii="Cambria" w:hAnsi="Cambria"/>
          <w:b/>
          <w:color w:val="365F91"/>
          <w:sz w:val="28"/>
        </w:rPr>
      </w:pPr>
      <w:r w:rsidRPr="00815A16">
        <w:rPr>
          <w:rFonts w:ascii="Cambria" w:hAnsi="Cambria"/>
          <w:b/>
          <w:color w:val="365F91"/>
          <w:sz w:val="28"/>
        </w:rPr>
        <w:t>ESTADO DE AGUASCALIENTES</w:t>
      </w:r>
    </w:p>
    <w:p w:rsidR="00362CC9" w:rsidRDefault="00362CC9" w:rsidP="00362CC9">
      <w:pPr>
        <w:spacing w:after="0" w:line="259" w:lineRule="auto"/>
        <w:ind w:left="0" w:right="0" w:firstLine="0"/>
        <w:jc w:val="center"/>
        <w:rPr>
          <w:b/>
          <w:color w:val="365F91"/>
          <w:sz w:val="28"/>
        </w:rPr>
      </w:pPr>
    </w:p>
    <w:p w:rsidR="00C173C6" w:rsidRPr="00815A16" w:rsidRDefault="000E3044">
      <w:pPr>
        <w:spacing w:after="0" w:line="259" w:lineRule="auto"/>
        <w:ind w:left="0" w:right="0" w:firstLine="0"/>
        <w:jc w:val="left"/>
        <w:rPr>
          <w:sz w:val="20"/>
        </w:rPr>
      </w:pPr>
      <w:r w:rsidRPr="00815A16">
        <w:rPr>
          <w:b/>
          <w:color w:val="365F91"/>
          <w:sz w:val="24"/>
        </w:rPr>
        <w:t>Formato de la Posición Institucional</w:t>
      </w:r>
      <w:r w:rsidR="00362CC9" w:rsidRPr="00815A16">
        <w:rPr>
          <w:b/>
          <w:color w:val="365F91"/>
          <w:sz w:val="24"/>
        </w:rPr>
        <w:t xml:space="preserve"> respecto al desempeño del FISM</w:t>
      </w:r>
      <w:r w:rsidR="00082420">
        <w:rPr>
          <w:b/>
          <w:color w:val="365F91"/>
          <w:sz w:val="24"/>
        </w:rPr>
        <w:t xml:space="preserve"> 2017</w:t>
      </w:r>
    </w:p>
    <w:p w:rsidR="00C173C6" w:rsidRDefault="000E3044">
      <w:pPr>
        <w:spacing w:after="0" w:line="259" w:lineRule="auto"/>
        <w:ind w:left="0" w:right="0" w:firstLine="0"/>
        <w:jc w:val="left"/>
      </w:pPr>
      <w:r>
        <w:rPr>
          <w:rFonts w:ascii="Arial" w:eastAsia="Arial" w:hAnsi="Arial" w:cs="Arial"/>
          <w:sz w:val="24"/>
        </w:rPr>
        <w:t xml:space="preserve"> </w:t>
      </w:r>
    </w:p>
    <w:p w:rsidR="00C173C6" w:rsidRDefault="000E3044">
      <w:pPr>
        <w:pStyle w:val="Ttulo1"/>
        <w:ind w:left="-5"/>
      </w:pPr>
      <w:r>
        <w:t>1. Uso de las recomendaciones de la evaluación</w:t>
      </w:r>
      <w:r>
        <w:rPr>
          <w:b w:val="0"/>
        </w:rPr>
        <w:t xml:space="preserve"> </w:t>
      </w:r>
    </w:p>
    <w:p w:rsidR="007B24BA" w:rsidRDefault="007B24BA">
      <w:pPr>
        <w:spacing w:after="0" w:line="259" w:lineRule="auto"/>
        <w:ind w:left="0" w:right="6" w:firstLine="0"/>
        <w:jc w:val="center"/>
        <w:rPr>
          <w:color w:val="44546A"/>
        </w:rPr>
      </w:pPr>
    </w:p>
    <w:p w:rsidR="007B24BA" w:rsidRDefault="007B24BA">
      <w:pPr>
        <w:spacing w:after="0" w:line="259" w:lineRule="auto"/>
        <w:ind w:left="0" w:right="6" w:firstLine="0"/>
        <w:jc w:val="center"/>
        <w:rPr>
          <w:color w:val="44546A"/>
        </w:rPr>
      </w:pPr>
    </w:p>
    <w:p w:rsidR="00C173C6" w:rsidRDefault="000E3044" w:rsidP="00C401BA">
      <w:pPr>
        <w:spacing w:after="0" w:line="259" w:lineRule="auto"/>
        <w:ind w:left="0" w:right="6" w:firstLine="0"/>
        <w:rPr>
          <w:b/>
          <w:color w:val="44546A"/>
        </w:rPr>
      </w:pPr>
      <w:r w:rsidRPr="007B24BA">
        <w:rPr>
          <w:color w:val="44546A"/>
        </w:rPr>
        <w:t>Cuadro. Prin</w:t>
      </w:r>
      <w:r w:rsidR="007B24BA" w:rsidRPr="007B24BA">
        <w:rPr>
          <w:color w:val="44546A"/>
        </w:rPr>
        <w:t xml:space="preserve">cipales mejoras a realizar por </w:t>
      </w:r>
      <w:r w:rsidR="00F347C7" w:rsidRPr="007B24BA">
        <w:rPr>
          <w:color w:val="44546A"/>
        </w:rPr>
        <w:t>e</w:t>
      </w:r>
      <w:r w:rsidR="007B24BA" w:rsidRPr="007B24BA">
        <w:rPr>
          <w:color w:val="44546A"/>
        </w:rPr>
        <w:t>l</w:t>
      </w:r>
      <w:r w:rsidR="00F347C7" w:rsidRPr="007B24BA">
        <w:rPr>
          <w:color w:val="44546A"/>
        </w:rPr>
        <w:t xml:space="preserve"> </w:t>
      </w:r>
      <w:r w:rsidR="00815A16">
        <w:rPr>
          <w:color w:val="44546A"/>
        </w:rPr>
        <w:t>M</w:t>
      </w:r>
      <w:r w:rsidR="00F347C7" w:rsidRPr="007B24BA">
        <w:rPr>
          <w:color w:val="44546A"/>
        </w:rPr>
        <w:t xml:space="preserve">unicipio de </w:t>
      </w:r>
      <w:r w:rsidR="00082420">
        <w:rPr>
          <w:color w:val="44546A"/>
        </w:rPr>
        <w:t>Aguascalientes.</w:t>
      </w:r>
    </w:p>
    <w:p w:rsidR="00815A16" w:rsidRPr="007B24BA" w:rsidRDefault="00815A16">
      <w:pPr>
        <w:spacing w:after="0" w:line="259" w:lineRule="auto"/>
        <w:ind w:left="0" w:right="6" w:firstLine="0"/>
        <w:jc w:val="center"/>
        <w:rPr>
          <w:sz w:val="28"/>
        </w:rPr>
      </w:pPr>
    </w:p>
    <w:tbl>
      <w:tblPr>
        <w:tblStyle w:val="Cuadrculaclara-nfasis1"/>
        <w:tblW w:w="11307" w:type="dxa"/>
        <w:tblLayout w:type="fixed"/>
        <w:tblLook w:val="04A0" w:firstRow="1" w:lastRow="0" w:firstColumn="1" w:lastColumn="0" w:noHBand="0" w:noVBand="1"/>
      </w:tblPr>
      <w:tblGrid>
        <w:gridCol w:w="2093"/>
        <w:gridCol w:w="3260"/>
        <w:gridCol w:w="2835"/>
        <w:gridCol w:w="3119"/>
      </w:tblGrid>
      <w:tr w:rsidR="00815A16" w:rsidTr="00025F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815A16" w:rsidRPr="00082420" w:rsidRDefault="00815A16" w:rsidP="00815A16">
            <w:pPr>
              <w:spacing w:after="0" w:line="259" w:lineRule="auto"/>
              <w:ind w:left="0" w:right="0" w:firstLine="0"/>
              <w:jc w:val="center"/>
              <w:rPr>
                <w:rFonts w:asciiTheme="majorHAnsi" w:hAnsiTheme="majorHAnsi" w:cstheme="majorHAnsi"/>
                <w:sz w:val="16"/>
                <w:szCs w:val="16"/>
              </w:rPr>
            </w:pPr>
            <w:r w:rsidRPr="00082420">
              <w:rPr>
                <w:rFonts w:asciiTheme="majorHAnsi" w:hAnsiTheme="majorHAnsi" w:cstheme="majorHAnsi"/>
                <w:sz w:val="16"/>
                <w:szCs w:val="16"/>
              </w:rPr>
              <w:t>Sección</w:t>
            </w:r>
          </w:p>
        </w:tc>
        <w:tc>
          <w:tcPr>
            <w:tcW w:w="3260" w:type="dxa"/>
          </w:tcPr>
          <w:p w:rsidR="00815A16" w:rsidRPr="00082420" w:rsidRDefault="00815A16" w:rsidP="00815A16">
            <w:pPr>
              <w:spacing w:after="0" w:line="259" w:lineRule="auto"/>
              <w:ind w:left="0" w:right="0" w:firstLine="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Texto</w:t>
            </w:r>
          </w:p>
        </w:tc>
        <w:tc>
          <w:tcPr>
            <w:tcW w:w="2835" w:type="dxa"/>
          </w:tcPr>
          <w:p w:rsidR="00815A16" w:rsidRPr="00082420" w:rsidRDefault="00815A16" w:rsidP="00815A16">
            <w:pPr>
              <w:spacing w:after="0" w:line="259" w:lineRule="auto"/>
              <w:ind w:left="0" w:right="0" w:firstLine="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Punto de Vista del Municipio</w:t>
            </w:r>
          </w:p>
        </w:tc>
        <w:tc>
          <w:tcPr>
            <w:tcW w:w="3119" w:type="dxa"/>
          </w:tcPr>
          <w:p w:rsidR="00815A16" w:rsidRPr="00082420" w:rsidRDefault="00815A16" w:rsidP="00815A16">
            <w:pPr>
              <w:spacing w:after="0" w:line="259" w:lineRule="auto"/>
              <w:ind w:left="0" w:right="0" w:firstLine="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Acción de mejora a realizar</w:t>
            </w:r>
          </w:p>
        </w:tc>
      </w:tr>
      <w:tr w:rsidR="00815A16" w:rsidTr="00025F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815A16" w:rsidRPr="00082420" w:rsidRDefault="00815A16" w:rsidP="00815A16">
            <w:pPr>
              <w:pStyle w:val="Prrafodelista"/>
              <w:numPr>
                <w:ilvl w:val="0"/>
                <w:numId w:val="7"/>
              </w:numPr>
              <w:spacing w:after="0" w:line="259" w:lineRule="auto"/>
              <w:ind w:right="0"/>
              <w:jc w:val="left"/>
              <w:rPr>
                <w:rFonts w:asciiTheme="majorHAnsi" w:hAnsiTheme="majorHAnsi" w:cstheme="majorHAnsi"/>
                <w:sz w:val="16"/>
                <w:szCs w:val="16"/>
              </w:rPr>
            </w:pPr>
            <w:r w:rsidRPr="00082420">
              <w:rPr>
                <w:rFonts w:asciiTheme="majorHAnsi" w:hAnsiTheme="majorHAnsi" w:cstheme="majorHAnsi"/>
                <w:sz w:val="16"/>
                <w:szCs w:val="16"/>
              </w:rPr>
              <w:t xml:space="preserve">Contexto </w:t>
            </w:r>
          </w:p>
          <w:p w:rsidR="00815A16" w:rsidRPr="00082420" w:rsidRDefault="00815A16" w:rsidP="00815A16">
            <w:pPr>
              <w:pStyle w:val="Prrafodelista"/>
              <w:spacing w:after="0" w:line="259" w:lineRule="auto"/>
              <w:ind w:right="0" w:firstLine="0"/>
              <w:jc w:val="left"/>
              <w:rPr>
                <w:rFonts w:asciiTheme="majorHAnsi" w:hAnsiTheme="majorHAnsi" w:cstheme="majorHAnsi"/>
                <w:sz w:val="16"/>
                <w:szCs w:val="16"/>
              </w:rPr>
            </w:pPr>
          </w:p>
        </w:tc>
        <w:tc>
          <w:tcPr>
            <w:tcW w:w="3260" w:type="dxa"/>
          </w:tcPr>
          <w:p w:rsidR="00815A16" w:rsidRPr="00082420" w:rsidRDefault="00571237" w:rsidP="008F4BA8">
            <w:pPr>
              <w:spacing w:after="0" w:line="259" w:lineRule="auto"/>
              <w:ind w:left="0" w:right="0" w:firstLine="0"/>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Municipios y Localidades 201</w:t>
            </w:r>
            <w:r w:rsidR="008F4BA8" w:rsidRPr="00082420">
              <w:rPr>
                <w:rFonts w:asciiTheme="majorHAnsi" w:hAnsiTheme="majorHAnsi" w:cstheme="majorHAnsi"/>
                <w:sz w:val="16"/>
                <w:szCs w:val="16"/>
              </w:rPr>
              <w:t>7</w:t>
            </w:r>
            <w:r w:rsidRPr="00082420">
              <w:rPr>
                <w:rFonts w:asciiTheme="majorHAnsi" w:hAnsiTheme="majorHAnsi" w:cstheme="majorHAnsi"/>
                <w:sz w:val="16"/>
                <w:szCs w:val="16"/>
              </w:rPr>
              <w:t>, INEGI. Resultados de pobreza municipal 2010 y rezago social por municipios 2015, CONEVAL.</w:t>
            </w:r>
          </w:p>
        </w:tc>
        <w:tc>
          <w:tcPr>
            <w:tcW w:w="2835" w:type="dxa"/>
          </w:tcPr>
          <w:p w:rsidR="00815A16" w:rsidRPr="00082420" w:rsidRDefault="00EA4609" w:rsidP="008F4BA8">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 xml:space="preserve">En el Municipio </w:t>
            </w:r>
            <w:r w:rsidR="008F4BA8" w:rsidRPr="00082420">
              <w:rPr>
                <w:rFonts w:asciiTheme="majorHAnsi" w:hAnsiTheme="majorHAnsi" w:cstheme="majorHAnsi"/>
                <w:sz w:val="16"/>
                <w:szCs w:val="16"/>
              </w:rPr>
              <w:t>se encuentran 17 ZAP por decreto de SEDESOL, aunque existen detectadas 71 Zonas de Alta Marginación de acuerdo a datos de la Secretaría de Desarrollo Social del Municipio de Aguascalientes.</w:t>
            </w:r>
          </w:p>
        </w:tc>
        <w:tc>
          <w:tcPr>
            <w:tcW w:w="3119" w:type="dxa"/>
          </w:tcPr>
          <w:p w:rsidR="00815A16" w:rsidRPr="00082420" w:rsidRDefault="00EA4609" w:rsidP="008F4BA8">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 xml:space="preserve">Realizar las acciones necesarias para contribuir a la disminución del rezago social en el Municipio de </w:t>
            </w:r>
            <w:r w:rsidR="008F4BA8" w:rsidRPr="00082420">
              <w:rPr>
                <w:rFonts w:asciiTheme="majorHAnsi" w:hAnsiTheme="majorHAnsi" w:cstheme="majorHAnsi"/>
                <w:sz w:val="16"/>
                <w:szCs w:val="16"/>
              </w:rPr>
              <w:t>Aguascalientes</w:t>
            </w:r>
            <w:r w:rsidRPr="00082420">
              <w:rPr>
                <w:rFonts w:asciiTheme="majorHAnsi" w:hAnsiTheme="majorHAnsi" w:cstheme="majorHAnsi"/>
                <w:sz w:val="16"/>
                <w:szCs w:val="16"/>
              </w:rPr>
              <w:t xml:space="preserve"> del Estado de Aguascalientes.</w:t>
            </w:r>
          </w:p>
        </w:tc>
      </w:tr>
      <w:tr w:rsidR="00815A16" w:rsidTr="00025F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815A16" w:rsidRPr="00082420" w:rsidRDefault="00815A16" w:rsidP="00815A16">
            <w:pPr>
              <w:pStyle w:val="Prrafodelista"/>
              <w:numPr>
                <w:ilvl w:val="0"/>
                <w:numId w:val="7"/>
              </w:numPr>
              <w:spacing w:after="0" w:line="259" w:lineRule="auto"/>
              <w:ind w:right="0"/>
              <w:jc w:val="left"/>
              <w:rPr>
                <w:rFonts w:asciiTheme="majorHAnsi" w:hAnsiTheme="majorHAnsi" w:cstheme="majorHAnsi"/>
                <w:sz w:val="16"/>
                <w:szCs w:val="16"/>
              </w:rPr>
            </w:pPr>
            <w:r w:rsidRPr="00082420">
              <w:rPr>
                <w:rFonts w:asciiTheme="majorHAnsi" w:hAnsiTheme="majorHAnsi" w:cstheme="majorHAnsi"/>
                <w:sz w:val="16"/>
                <w:szCs w:val="16"/>
              </w:rPr>
              <w:t>Presupuesto y Cobertura</w:t>
            </w:r>
          </w:p>
          <w:p w:rsidR="00815A16" w:rsidRPr="00082420" w:rsidRDefault="00815A16" w:rsidP="00815A16">
            <w:pPr>
              <w:spacing w:after="0" w:line="259" w:lineRule="auto"/>
              <w:ind w:right="0"/>
              <w:jc w:val="left"/>
              <w:rPr>
                <w:rFonts w:asciiTheme="majorHAnsi" w:hAnsiTheme="majorHAnsi" w:cstheme="majorHAnsi"/>
                <w:sz w:val="16"/>
                <w:szCs w:val="16"/>
              </w:rPr>
            </w:pPr>
          </w:p>
        </w:tc>
        <w:tc>
          <w:tcPr>
            <w:tcW w:w="3260" w:type="dxa"/>
          </w:tcPr>
          <w:p w:rsidR="00815A16" w:rsidRPr="00082420" w:rsidRDefault="008F4BA8" w:rsidP="008F4BA8">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r w:rsidRPr="00082420">
              <w:rPr>
                <w:rFonts w:asciiTheme="majorHAnsi" w:eastAsiaTheme="minorEastAsia" w:hAnsiTheme="majorHAnsi" w:cstheme="majorHAnsi"/>
                <w:color w:val="auto"/>
                <w:sz w:val="16"/>
                <w:szCs w:val="16"/>
              </w:rPr>
              <w:t>Al estado de Aguascalientes se le aprobaron 298.73 MDP de recursos del FISMDF, siendo el estado número 30 con mayor monto a nivel nacional, lo cual representa el 0.5 % del total de recursos del Fondo. Por otro lado, del presupuesto ejercido en Cuenta Pública 2017 (293.95 MDP), los municipios en el estado reportan en total el ejercicio del 95.53% (280.83 MDP) en atención a carencias sociales o proyectos especiales. El 3.54% del presupuesto planeado del FISMDF potencializa sus recursos con otras instancias, lo que equivale al 4.77% del total de los proyectos. La mayor parte del presupuesto ejercido (149.99 MDP) se destina a la carencia por Acceso a Servicios Básicos de la Vivienda, seguido de la carencia por la carencia de Calidad y Espacios de la Vivienda (87.31 MDP). Finalmente, los recursos del FISMDF se concentran en localidades con grado de rezago social Muy bajo (196.24 MDP), mientras que las localidades con grado de rezago social Medio, Alto y Muy Alto no recibieron recursos. Asimismo, del total de 2,932 localidades que hay en la entidad, se atendieron 252. La carencia por Acceso a los Servicios Básicos en la Vivienda fue la que más incrementó porcentualmente su presupuesto ejercido de 2016 a 2017 con un 124.23%, mientras que la de menor crecimiento porcentual fue la carencia por Rezago Educativo con un 48.31%.</w:t>
            </w:r>
          </w:p>
        </w:tc>
        <w:tc>
          <w:tcPr>
            <w:tcW w:w="2835" w:type="dxa"/>
            <w:vAlign w:val="center"/>
          </w:tcPr>
          <w:p w:rsidR="00815A16" w:rsidRPr="00082420" w:rsidRDefault="00995EDA" w:rsidP="008F4BA8">
            <w:pPr>
              <w:spacing w:after="0" w:line="259" w:lineRule="auto"/>
              <w:ind w:left="0" w:right="0" w:firstLine="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 xml:space="preserve">Se invirtieron </w:t>
            </w:r>
            <w:r w:rsidR="00BD7C71" w:rsidRPr="00082420">
              <w:rPr>
                <w:rFonts w:asciiTheme="majorHAnsi" w:hAnsiTheme="majorHAnsi" w:cstheme="majorHAnsi"/>
                <w:sz w:val="16"/>
                <w:szCs w:val="16"/>
              </w:rPr>
              <w:t>$</w:t>
            </w:r>
            <w:r w:rsidR="008F4BA8" w:rsidRPr="00082420">
              <w:rPr>
                <w:rFonts w:asciiTheme="majorHAnsi" w:hAnsiTheme="majorHAnsi" w:cstheme="majorHAnsi"/>
                <w:sz w:val="16"/>
                <w:szCs w:val="16"/>
              </w:rPr>
              <w:t>122,854,385.52</w:t>
            </w:r>
            <w:r w:rsidRPr="00082420">
              <w:rPr>
                <w:rFonts w:asciiTheme="majorHAnsi" w:hAnsiTheme="majorHAnsi" w:cstheme="majorHAnsi"/>
                <w:sz w:val="16"/>
                <w:szCs w:val="16"/>
              </w:rPr>
              <w:t xml:space="preserve"> para disminuir el rezago social, la pobreza en las localidades de mayor necesidad y prioridad.</w:t>
            </w:r>
            <w:r w:rsidR="00DF2C99" w:rsidRPr="00082420">
              <w:rPr>
                <w:rFonts w:asciiTheme="majorHAnsi" w:hAnsiTheme="majorHAnsi" w:cstheme="majorHAnsi"/>
                <w:sz w:val="16"/>
                <w:szCs w:val="16"/>
              </w:rPr>
              <w:t xml:space="preserve"> Se ha dado prioridad a contribuir a mejorar el indicador nacional de carencia social de “Calidad y espacios en la vivienda” para disminuir el problema de hacinamiento que se vive en el municipio.</w:t>
            </w:r>
          </w:p>
        </w:tc>
        <w:tc>
          <w:tcPr>
            <w:tcW w:w="3119" w:type="dxa"/>
          </w:tcPr>
          <w:p w:rsidR="00815A16" w:rsidRPr="00082420" w:rsidRDefault="00DF2C99" w:rsidP="00DF2C99">
            <w:pPr>
              <w:spacing w:after="0" w:line="259"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Se realizará una mayor planeación financiera del recurso a fin de no dejar recursos disponibles para ejercer</w:t>
            </w:r>
            <w:r w:rsidR="00321B32" w:rsidRPr="00082420">
              <w:rPr>
                <w:rFonts w:asciiTheme="majorHAnsi" w:hAnsiTheme="majorHAnsi" w:cstheme="majorHAnsi"/>
                <w:sz w:val="16"/>
                <w:szCs w:val="16"/>
              </w:rPr>
              <w:t>.</w:t>
            </w:r>
            <w:r w:rsidRPr="00082420">
              <w:rPr>
                <w:rFonts w:asciiTheme="majorHAnsi" w:hAnsiTheme="majorHAnsi" w:cstheme="majorHAnsi"/>
                <w:sz w:val="16"/>
                <w:szCs w:val="16"/>
              </w:rPr>
              <w:t xml:space="preserve"> Esto se hará a través de una coordinación eficiente con las empresas contratistas de obra, además de contar con las obras en banco de proyectos previamente autorizadas por el Consejo de Desarrollo Municipal, figura a través de la cual se lleva a cabo la participación comunitaria en la planeación de acciones. En cuanto a la atención de las carencias se continuará con el esfuerzo de contribuir a mejorar los indicadores por carencia  social en el municipio de </w:t>
            </w:r>
            <w:r w:rsidR="00082420" w:rsidRPr="00082420">
              <w:rPr>
                <w:rFonts w:asciiTheme="majorHAnsi" w:hAnsiTheme="majorHAnsi" w:cstheme="majorHAnsi"/>
                <w:sz w:val="16"/>
                <w:szCs w:val="16"/>
              </w:rPr>
              <w:t>Aguascalientes</w:t>
            </w:r>
            <w:r w:rsidRPr="00082420">
              <w:rPr>
                <w:rFonts w:asciiTheme="majorHAnsi" w:hAnsiTheme="majorHAnsi" w:cstheme="majorHAnsi"/>
                <w:sz w:val="16"/>
                <w:szCs w:val="16"/>
              </w:rPr>
              <w:t>.</w:t>
            </w:r>
          </w:p>
        </w:tc>
      </w:tr>
      <w:tr w:rsidR="00CA7B01" w:rsidTr="00025F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CA7B01" w:rsidRPr="00082420" w:rsidRDefault="00CA7B01" w:rsidP="00CA7B01">
            <w:pPr>
              <w:pStyle w:val="Prrafodelista"/>
              <w:numPr>
                <w:ilvl w:val="0"/>
                <w:numId w:val="7"/>
              </w:numPr>
              <w:spacing w:after="0" w:line="259" w:lineRule="auto"/>
              <w:ind w:right="0"/>
              <w:jc w:val="left"/>
              <w:rPr>
                <w:rFonts w:asciiTheme="majorHAnsi" w:hAnsiTheme="majorHAnsi" w:cstheme="majorHAnsi"/>
                <w:bCs w:val="0"/>
                <w:sz w:val="16"/>
                <w:szCs w:val="16"/>
              </w:rPr>
            </w:pPr>
            <w:r w:rsidRPr="00082420">
              <w:rPr>
                <w:rFonts w:asciiTheme="majorHAnsi" w:hAnsiTheme="majorHAnsi" w:cstheme="majorHAnsi"/>
                <w:bCs w:val="0"/>
                <w:sz w:val="16"/>
                <w:szCs w:val="16"/>
              </w:rPr>
              <w:t>Análisis de Indicadores</w:t>
            </w:r>
          </w:p>
          <w:p w:rsidR="00CA7B01" w:rsidRPr="00082420" w:rsidRDefault="00CA7B01" w:rsidP="00CA7B01">
            <w:pPr>
              <w:spacing w:after="0" w:line="259" w:lineRule="auto"/>
              <w:ind w:right="0"/>
              <w:jc w:val="left"/>
              <w:rPr>
                <w:rFonts w:asciiTheme="majorHAnsi" w:hAnsiTheme="majorHAnsi" w:cstheme="majorHAnsi"/>
                <w:sz w:val="16"/>
                <w:szCs w:val="16"/>
              </w:rPr>
            </w:pPr>
          </w:p>
        </w:tc>
        <w:tc>
          <w:tcPr>
            <w:tcW w:w="3260" w:type="dxa"/>
          </w:tcPr>
          <w:p w:rsidR="001970A4" w:rsidRPr="00082420" w:rsidRDefault="00DF2C99" w:rsidP="00DF2C99">
            <w:pPr>
              <w:autoSpaceDE w:val="0"/>
              <w:autoSpaceDN w:val="0"/>
              <w:adjustRightInd w:val="0"/>
              <w:spacing w:after="0" w:line="240" w:lineRule="auto"/>
              <w:ind w:left="0" w:right="0" w:firstLine="0"/>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082420">
              <w:rPr>
                <w:rFonts w:asciiTheme="majorHAnsi" w:eastAsiaTheme="minorEastAsia" w:hAnsiTheme="majorHAnsi" w:cstheme="majorHAnsi"/>
                <w:color w:val="auto"/>
                <w:sz w:val="16"/>
                <w:szCs w:val="16"/>
              </w:rPr>
              <w:t xml:space="preserve">El indicador "Inversión per cápita del Fondo para la Infraestructura Social Municipal (FISM) en localidades con alto y muy alto rezago social" tiene cobertura nacional y no es reportado por los municipios. El estado de Aguascalientes cuenta con 11 municipios, de los cuales solo 5 registraron correctamente la totalidad de la información de indicadores en el módulo de evaluación del Sistema de Formato Único, lo que representa un registro del 45%, es decir, un registro bajo. En lo que corresponde particularmente al indicador Porcentaje de proyectos de contribución directa registrados en la MIDS, 9 municipios cumplieron la meta establecida al inicio del ejercicio fiscal. </w:t>
            </w:r>
          </w:p>
        </w:tc>
        <w:tc>
          <w:tcPr>
            <w:tcW w:w="2835" w:type="dxa"/>
          </w:tcPr>
          <w:p w:rsidR="00CA7B01" w:rsidRPr="00082420" w:rsidRDefault="00DF2C99">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Particularmente el municipio de Aguascalientes ha cumplido con la meta establecida en el Sistema de Formato Único.</w:t>
            </w:r>
          </w:p>
        </w:tc>
        <w:tc>
          <w:tcPr>
            <w:tcW w:w="3119" w:type="dxa"/>
          </w:tcPr>
          <w:p w:rsidR="00CA7B01" w:rsidRPr="00082420" w:rsidRDefault="00A44DD8" w:rsidP="00CD0CBD">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 xml:space="preserve">Se </w:t>
            </w:r>
            <w:r w:rsidR="00CD0CBD" w:rsidRPr="00082420">
              <w:rPr>
                <w:rFonts w:asciiTheme="majorHAnsi" w:hAnsiTheme="majorHAnsi" w:cstheme="majorHAnsi"/>
                <w:sz w:val="16"/>
                <w:szCs w:val="16"/>
              </w:rPr>
              <w:t>continuará trabajando para dar cumplimiento en forma a los indicadores establecidos.</w:t>
            </w:r>
          </w:p>
        </w:tc>
      </w:tr>
      <w:tr w:rsidR="00815A16" w:rsidTr="007D0AC4">
        <w:trPr>
          <w:cnfStyle w:val="000000010000" w:firstRow="0" w:lastRow="0" w:firstColumn="0" w:lastColumn="0" w:oddVBand="0" w:evenVBand="0" w:oddHBand="0" w:evenHBand="1" w:firstRowFirstColumn="0" w:firstRowLastColumn="0" w:lastRowFirstColumn="0" w:lastRowLastColumn="0"/>
          <w:trHeight w:val="5980"/>
        </w:trPr>
        <w:tc>
          <w:tcPr>
            <w:cnfStyle w:val="001000000000" w:firstRow="0" w:lastRow="0" w:firstColumn="1" w:lastColumn="0" w:oddVBand="0" w:evenVBand="0" w:oddHBand="0" w:evenHBand="0" w:firstRowFirstColumn="0" w:firstRowLastColumn="0" w:lastRowFirstColumn="0" w:lastRowLastColumn="0"/>
            <w:tcW w:w="2093" w:type="dxa"/>
          </w:tcPr>
          <w:p w:rsidR="00815A16" w:rsidRPr="00082420" w:rsidRDefault="00815A16" w:rsidP="00CA7B01">
            <w:pPr>
              <w:pStyle w:val="Prrafodelista"/>
              <w:numPr>
                <w:ilvl w:val="0"/>
                <w:numId w:val="7"/>
              </w:numPr>
              <w:spacing w:after="0" w:line="259" w:lineRule="auto"/>
              <w:ind w:right="0"/>
              <w:jc w:val="left"/>
              <w:rPr>
                <w:rFonts w:asciiTheme="majorHAnsi" w:hAnsiTheme="majorHAnsi" w:cstheme="majorHAnsi"/>
                <w:sz w:val="16"/>
                <w:szCs w:val="16"/>
              </w:rPr>
            </w:pPr>
            <w:r w:rsidRPr="00082420">
              <w:rPr>
                <w:rFonts w:asciiTheme="majorHAnsi" w:hAnsiTheme="majorHAnsi" w:cstheme="majorHAnsi"/>
                <w:sz w:val="16"/>
                <w:szCs w:val="16"/>
              </w:rPr>
              <w:lastRenderedPageBreak/>
              <w:t>Análisis de FODA</w:t>
            </w:r>
          </w:p>
          <w:p w:rsidR="00815A16" w:rsidRPr="00082420" w:rsidRDefault="00815A16" w:rsidP="00815A16">
            <w:pPr>
              <w:spacing w:after="0" w:line="259" w:lineRule="auto"/>
              <w:ind w:right="0"/>
              <w:jc w:val="left"/>
              <w:rPr>
                <w:rFonts w:asciiTheme="majorHAnsi" w:hAnsiTheme="majorHAnsi" w:cstheme="majorHAnsi"/>
                <w:sz w:val="16"/>
                <w:szCs w:val="16"/>
              </w:rPr>
            </w:pPr>
          </w:p>
        </w:tc>
        <w:tc>
          <w:tcPr>
            <w:tcW w:w="3260" w:type="dxa"/>
          </w:tcPr>
          <w:p w:rsidR="00B233E9" w:rsidRPr="00082420" w:rsidRDefault="00CD0CBD" w:rsidP="00CD0CBD">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eastAsiaTheme="minorEastAsia" w:hAnsiTheme="majorHAnsi" w:cstheme="majorHAnsi"/>
                <w:color w:val="auto"/>
                <w:sz w:val="16"/>
                <w:szCs w:val="16"/>
              </w:rPr>
            </w:pPr>
            <w:r w:rsidRPr="00082420">
              <w:rPr>
                <w:rFonts w:asciiTheme="majorHAnsi" w:eastAsiaTheme="minorEastAsia" w:hAnsiTheme="majorHAnsi" w:cstheme="majorHAnsi"/>
                <w:color w:val="auto"/>
                <w:sz w:val="16"/>
                <w:szCs w:val="16"/>
              </w:rPr>
              <w:t>Fortalezas: 1. Los municipios de la entidad reportan el 95.53% del presupuesto ejercido registrado en Cuenta Pública al cierre de 2017. 2. Los recursos del Fondo concurren en los municipios de la entidad. 3. Se fortalece el diseño y la operación del Fondo con evaluaciones externas. 4. La mayor parte del presupuesto ejercido se destina a la carencia social de servicios básicos de la vivienda y a la carencia por calidad y espacios de la vivienda.</w:t>
            </w:r>
          </w:p>
          <w:p w:rsidR="00CD0CBD" w:rsidRPr="00082420" w:rsidRDefault="00CD0CBD" w:rsidP="00CD0CBD">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eastAsiaTheme="minorEastAsia" w:hAnsiTheme="majorHAnsi" w:cstheme="majorHAnsi"/>
                <w:color w:val="auto"/>
                <w:sz w:val="16"/>
                <w:szCs w:val="16"/>
              </w:rPr>
            </w:pPr>
          </w:p>
          <w:p w:rsidR="00CD0CBD" w:rsidRPr="00082420" w:rsidRDefault="00CD0CBD" w:rsidP="00CD0CBD">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eastAsiaTheme="minorEastAsia" w:hAnsiTheme="majorHAnsi" w:cstheme="majorHAnsi"/>
                <w:color w:val="auto"/>
                <w:sz w:val="16"/>
                <w:szCs w:val="16"/>
              </w:rPr>
            </w:pPr>
            <w:r w:rsidRPr="00082420">
              <w:rPr>
                <w:rFonts w:asciiTheme="majorHAnsi" w:eastAsiaTheme="minorEastAsia" w:hAnsiTheme="majorHAnsi" w:cstheme="majorHAnsi"/>
                <w:color w:val="auto"/>
                <w:sz w:val="16"/>
                <w:szCs w:val="16"/>
              </w:rPr>
              <w:t>Oportunidades: 1. La planeación de los recursos en diversas obras y acciones contribuye a reducir la incidencia de la pobreza en sus múltiples dimensiones</w:t>
            </w:r>
          </w:p>
          <w:p w:rsidR="00CD0CBD" w:rsidRPr="00082420" w:rsidRDefault="00CD0CBD" w:rsidP="00CD0CBD">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eastAsiaTheme="minorEastAsia" w:hAnsiTheme="majorHAnsi" w:cstheme="majorHAnsi"/>
                <w:color w:val="auto"/>
                <w:sz w:val="16"/>
                <w:szCs w:val="16"/>
              </w:rPr>
            </w:pPr>
          </w:p>
          <w:p w:rsidR="00CD0CBD" w:rsidRPr="00082420" w:rsidRDefault="00CD0CBD" w:rsidP="00CD0CBD">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eastAsiaTheme="minorEastAsia" w:hAnsiTheme="majorHAnsi" w:cstheme="majorHAnsi"/>
                <w:color w:val="auto"/>
                <w:sz w:val="16"/>
                <w:szCs w:val="16"/>
              </w:rPr>
            </w:pPr>
            <w:r w:rsidRPr="00082420">
              <w:rPr>
                <w:rFonts w:asciiTheme="majorHAnsi" w:eastAsiaTheme="minorEastAsia" w:hAnsiTheme="majorHAnsi" w:cstheme="majorHAnsi"/>
                <w:color w:val="auto"/>
                <w:sz w:val="16"/>
                <w:szCs w:val="16"/>
              </w:rPr>
              <w:t>Debilidades: 1. El 45% de los municipios del estado registraron correctamente la totalidad de la información de indicadores en el módulo de evaluación del Sistema de Formato Único.</w:t>
            </w:r>
          </w:p>
          <w:p w:rsidR="00CD0CBD" w:rsidRPr="00082420" w:rsidRDefault="00CD0CBD" w:rsidP="00CD0CBD">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eastAsiaTheme="minorEastAsia" w:hAnsiTheme="majorHAnsi" w:cstheme="majorHAnsi"/>
                <w:color w:val="auto"/>
                <w:sz w:val="16"/>
                <w:szCs w:val="16"/>
              </w:rPr>
            </w:pPr>
          </w:p>
          <w:p w:rsidR="00CD0CBD" w:rsidRPr="00082420" w:rsidRDefault="00CD0CBD" w:rsidP="00CD0CBD">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r w:rsidRPr="00082420">
              <w:rPr>
                <w:rFonts w:asciiTheme="majorHAnsi" w:eastAsiaTheme="minorEastAsia" w:hAnsiTheme="majorHAnsi" w:cstheme="majorHAnsi"/>
                <w:color w:val="auto"/>
                <w:sz w:val="16"/>
                <w:szCs w:val="16"/>
              </w:rPr>
              <w:t>Amenazas: 1. Los gobiernos municipales no se concentran en las localidades con los dos más altos grados de rezago social lo que puede conducir a que los objetivos del fondo no se cumplan.</w:t>
            </w:r>
          </w:p>
        </w:tc>
        <w:tc>
          <w:tcPr>
            <w:tcW w:w="2835" w:type="dxa"/>
          </w:tcPr>
          <w:p w:rsidR="00815A16" w:rsidRPr="00082420" w:rsidRDefault="00CD0CBD" w:rsidP="00CD0CBD">
            <w:pPr>
              <w:spacing w:after="0" w:line="259"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El municipio de Aguascalientes siempre ha buscado contribuir a la disminución de la pobreza en sus múltiples dimensiones y la actual estrategia es el abatimiento de las condiciones de hacinamiento al mejorar la calidad de espacios en la vivienda, resultado a este esfuerzo que se ha visto reflejado en la mejora en los indicadores que corresponden; pero de igual manera se busca contribuir con proyectos de mejoramiento de espacios educativos, pavimentación y mejoramiento de los sistemas de agua y saneamiento como una estrategia integral dentro y fuera de las ZAPS, buscando siempre las zonas con alto grado de marginación.</w:t>
            </w:r>
          </w:p>
          <w:p w:rsidR="00CD0CBD" w:rsidRPr="00082420" w:rsidRDefault="00CD0CBD" w:rsidP="00CD0CBD">
            <w:pPr>
              <w:spacing w:after="0" w:line="259"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p>
          <w:p w:rsidR="00CD0CBD" w:rsidRPr="00082420" w:rsidRDefault="00CD0CBD" w:rsidP="00CD0CBD">
            <w:pPr>
              <w:spacing w:after="0" w:line="259"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Asimismo se hace la observación en que en el municipio existen zonas de alta marginación que no han sido consideradas como ZAPS o zonas con los dos grados de rezago social más alto, pero que por presentar incluso mayores condiciones de rezago se han atendido mediante el levantamiento de las CUIS que avalan esta condición.</w:t>
            </w:r>
          </w:p>
        </w:tc>
        <w:tc>
          <w:tcPr>
            <w:tcW w:w="3119" w:type="dxa"/>
          </w:tcPr>
          <w:p w:rsidR="00815A16" w:rsidRPr="00082420" w:rsidRDefault="00BA513B">
            <w:pPr>
              <w:spacing w:after="0" w:line="259"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Dar certeza que el recurso se ejerza en las zonas que presentan las condiciones de rezago contempladas para ser beneficiadas por el fondo.</w:t>
            </w:r>
          </w:p>
          <w:p w:rsidR="00BA513B" w:rsidRPr="00082420" w:rsidRDefault="00082420" w:rsidP="00BA513B">
            <w:pPr>
              <w:spacing w:after="0" w:line="259"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Realizar</w:t>
            </w:r>
            <w:r w:rsidR="00BA513B" w:rsidRPr="00082420">
              <w:rPr>
                <w:rFonts w:asciiTheme="majorHAnsi" w:hAnsiTheme="majorHAnsi" w:cstheme="majorHAnsi"/>
                <w:sz w:val="16"/>
                <w:szCs w:val="16"/>
              </w:rPr>
              <w:t xml:space="preserve"> una adecuada planeación del recurso para cubrir las diferentes dimensiones de pobreza y carencias.</w:t>
            </w:r>
          </w:p>
        </w:tc>
      </w:tr>
      <w:tr w:rsidR="00815A16" w:rsidTr="00025F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815A16" w:rsidRPr="00082420" w:rsidRDefault="00815A16" w:rsidP="00815A16">
            <w:pPr>
              <w:pStyle w:val="Prrafodelista"/>
              <w:numPr>
                <w:ilvl w:val="0"/>
                <w:numId w:val="7"/>
              </w:numPr>
              <w:spacing w:after="0" w:line="259" w:lineRule="auto"/>
              <w:ind w:right="0"/>
              <w:jc w:val="left"/>
              <w:rPr>
                <w:rFonts w:asciiTheme="majorHAnsi" w:hAnsiTheme="majorHAnsi" w:cstheme="majorHAnsi"/>
                <w:sz w:val="16"/>
                <w:szCs w:val="16"/>
              </w:rPr>
            </w:pPr>
            <w:r w:rsidRPr="00082420">
              <w:rPr>
                <w:rFonts w:asciiTheme="majorHAnsi" w:hAnsiTheme="majorHAnsi" w:cstheme="majorHAnsi"/>
                <w:sz w:val="16"/>
                <w:szCs w:val="16"/>
              </w:rPr>
              <w:t>Seguimiento a Recomendaciones</w:t>
            </w:r>
          </w:p>
          <w:p w:rsidR="00815A16" w:rsidRPr="00082420" w:rsidRDefault="00815A16" w:rsidP="00815A16">
            <w:pPr>
              <w:spacing w:after="0" w:line="259" w:lineRule="auto"/>
              <w:ind w:right="0"/>
              <w:jc w:val="left"/>
              <w:rPr>
                <w:rFonts w:asciiTheme="majorHAnsi" w:hAnsiTheme="majorHAnsi" w:cstheme="majorHAnsi"/>
                <w:sz w:val="16"/>
                <w:szCs w:val="16"/>
              </w:rPr>
            </w:pPr>
          </w:p>
        </w:tc>
        <w:tc>
          <w:tcPr>
            <w:tcW w:w="3260" w:type="dxa"/>
            <w:vAlign w:val="center"/>
          </w:tcPr>
          <w:p w:rsidR="00815A16" w:rsidRPr="00082420" w:rsidRDefault="00E81A83" w:rsidP="00B233E9">
            <w:pPr>
              <w:spacing w:after="0" w:line="259" w:lineRule="auto"/>
              <w:ind w:left="0" w:right="0" w:firstLine="0"/>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Los municipios del estado de Aguascalientes han realizado evaluaciones, sin embargo, no se cuenta con evidencia suficiente al respecto del seguimiento y reporte de avances.</w:t>
            </w:r>
          </w:p>
        </w:tc>
        <w:tc>
          <w:tcPr>
            <w:tcW w:w="2835" w:type="dxa"/>
          </w:tcPr>
          <w:p w:rsidR="00815A16" w:rsidRPr="00082420" w:rsidRDefault="00BA513B" w:rsidP="00BA513B">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El municipio de Aguascalientes ha tomado medidas como la realización de las MIRS para el fondo, y que estos sean aplicados de manera más focalizada de acuerdo a las condiciones particulares del municipio. Estas se dieron como resultado de las observaciones hechas por el instituto GAPs, quien fue el encargado de llevar a cabo la evaluación del Fondo.</w:t>
            </w:r>
          </w:p>
        </w:tc>
        <w:tc>
          <w:tcPr>
            <w:tcW w:w="3119" w:type="dxa"/>
          </w:tcPr>
          <w:p w:rsidR="00815A16" w:rsidRPr="00082420" w:rsidRDefault="00BA513B" w:rsidP="00BA513B">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Apegarse a la Matriz de Indicadores de Resultados y en general al documento emitido por el agente evaluador en la planeación y ejercicio del recurso.</w:t>
            </w:r>
          </w:p>
        </w:tc>
      </w:tr>
      <w:tr w:rsidR="00815A16" w:rsidTr="00025F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815A16" w:rsidRPr="00082420" w:rsidRDefault="00815A16" w:rsidP="00815A16">
            <w:pPr>
              <w:pStyle w:val="Prrafodelista"/>
              <w:numPr>
                <w:ilvl w:val="0"/>
                <w:numId w:val="7"/>
              </w:numPr>
              <w:spacing w:after="0" w:line="259" w:lineRule="auto"/>
              <w:ind w:right="0"/>
              <w:jc w:val="left"/>
              <w:rPr>
                <w:rFonts w:asciiTheme="majorHAnsi" w:hAnsiTheme="majorHAnsi" w:cstheme="majorHAnsi"/>
                <w:sz w:val="16"/>
                <w:szCs w:val="16"/>
              </w:rPr>
            </w:pPr>
            <w:r w:rsidRPr="00082420">
              <w:rPr>
                <w:rFonts w:asciiTheme="majorHAnsi" w:hAnsiTheme="majorHAnsi" w:cstheme="majorHAnsi"/>
                <w:sz w:val="16"/>
                <w:szCs w:val="16"/>
              </w:rPr>
              <w:t>Calidad y suficiencia de la información</w:t>
            </w:r>
          </w:p>
          <w:p w:rsidR="00815A16" w:rsidRPr="00082420" w:rsidRDefault="00815A16" w:rsidP="00815A16">
            <w:pPr>
              <w:spacing w:after="0" w:line="259" w:lineRule="auto"/>
              <w:ind w:right="0"/>
              <w:jc w:val="left"/>
              <w:rPr>
                <w:rFonts w:asciiTheme="majorHAnsi" w:hAnsiTheme="majorHAnsi" w:cstheme="majorHAnsi"/>
                <w:sz w:val="16"/>
                <w:szCs w:val="16"/>
              </w:rPr>
            </w:pPr>
          </w:p>
        </w:tc>
        <w:tc>
          <w:tcPr>
            <w:tcW w:w="3260" w:type="dxa"/>
          </w:tcPr>
          <w:p w:rsidR="00815A16" w:rsidRPr="00082420" w:rsidRDefault="00BA513B" w:rsidP="00BA513B">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eastAsiaTheme="minorEastAsia" w:hAnsiTheme="majorHAnsi" w:cstheme="majorHAnsi"/>
                <w:color w:val="auto"/>
                <w:sz w:val="16"/>
                <w:szCs w:val="16"/>
              </w:rPr>
            </w:pPr>
            <w:r w:rsidRPr="00082420">
              <w:rPr>
                <w:rFonts w:asciiTheme="majorHAnsi" w:eastAsiaTheme="minorEastAsia" w:hAnsiTheme="majorHAnsi" w:cstheme="majorHAnsi"/>
                <w:color w:val="auto"/>
                <w:sz w:val="16"/>
                <w:szCs w:val="16"/>
              </w:rPr>
              <w:t>Indicadores: El estado de Aguascalientes cuenta con 11 municipios, de los cuales solo 5 registraron correctamente la totalidad de la información de indicadores en el módulo de evaluación del Sistema de Formato Único.</w:t>
            </w:r>
          </w:p>
          <w:p w:rsidR="00BA513B" w:rsidRPr="00082420" w:rsidRDefault="00BA513B" w:rsidP="00BA513B">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eastAsiaTheme="minorEastAsia" w:hAnsiTheme="majorHAnsi" w:cstheme="majorHAnsi"/>
                <w:color w:val="auto"/>
                <w:sz w:val="16"/>
                <w:szCs w:val="16"/>
              </w:rPr>
            </w:pPr>
          </w:p>
          <w:p w:rsidR="00BA513B" w:rsidRPr="00082420" w:rsidRDefault="00BA513B" w:rsidP="00BA513B">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eastAsiaTheme="minorEastAsia" w:hAnsiTheme="majorHAnsi" w:cstheme="majorHAnsi"/>
                <w:color w:val="auto"/>
                <w:sz w:val="16"/>
                <w:szCs w:val="16"/>
              </w:rPr>
            </w:pPr>
            <w:r w:rsidRPr="00082420">
              <w:rPr>
                <w:rFonts w:asciiTheme="majorHAnsi" w:eastAsiaTheme="minorEastAsia" w:hAnsiTheme="majorHAnsi" w:cstheme="majorHAnsi"/>
                <w:color w:val="auto"/>
                <w:sz w:val="16"/>
                <w:szCs w:val="16"/>
              </w:rPr>
              <w:t xml:space="preserve">Presupuesto: Los gobiernos municipales no concentran la atención en </w:t>
            </w:r>
            <w:r w:rsidR="00082420" w:rsidRPr="00082420">
              <w:rPr>
                <w:rFonts w:asciiTheme="majorHAnsi" w:eastAsiaTheme="minorEastAsia" w:hAnsiTheme="majorHAnsi" w:cstheme="majorHAnsi"/>
                <w:color w:val="auto"/>
                <w:sz w:val="16"/>
                <w:szCs w:val="16"/>
              </w:rPr>
              <w:t>las localidades</w:t>
            </w:r>
            <w:r w:rsidRPr="00082420">
              <w:rPr>
                <w:rFonts w:asciiTheme="majorHAnsi" w:eastAsiaTheme="minorEastAsia" w:hAnsiTheme="majorHAnsi" w:cstheme="majorHAnsi"/>
                <w:color w:val="auto"/>
                <w:sz w:val="16"/>
                <w:szCs w:val="16"/>
              </w:rPr>
              <w:t xml:space="preserve"> con el mayor grado de rezago social.</w:t>
            </w:r>
          </w:p>
          <w:p w:rsidR="00BA513B" w:rsidRPr="00082420" w:rsidRDefault="00BA513B" w:rsidP="00BA513B">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eastAsiaTheme="minorEastAsia" w:hAnsiTheme="majorHAnsi" w:cstheme="majorHAnsi"/>
                <w:color w:val="auto"/>
                <w:sz w:val="16"/>
                <w:szCs w:val="16"/>
              </w:rPr>
            </w:pPr>
          </w:p>
          <w:p w:rsidR="00BA513B" w:rsidRPr="00082420" w:rsidRDefault="00BA513B" w:rsidP="00BA513B">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eastAsiaTheme="minorEastAsia" w:hAnsiTheme="majorHAnsi" w:cstheme="majorHAnsi"/>
                <w:color w:val="auto"/>
                <w:sz w:val="16"/>
                <w:szCs w:val="16"/>
              </w:rPr>
            </w:pPr>
            <w:r w:rsidRPr="00082420">
              <w:rPr>
                <w:rFonts w:asciiTheme="majorHAnsi" w:eastAsiaTheme="minorEastAsia" w:hAnsiTheme="majorHAnsi" w:cstheme="majorHAnsi"/>
                <w:color w:val="auto"/>
                <w:sz w:val="16"/>
                <w:szCs w:val="16"/>
              </w:rPr>
              <w:t>Evaluaciones* Los municipios de la entidad han realizado evaluaciones al Fondo.</w:t>
            </w:r>
          </w:p>
          <w:p w:rsidR="00BA513B" w:rsidRPr="00082420" w:rsidRDefault="00BA513B" w:rsidP="00BA513B">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eastAsiaTheme="minorEastAsia" w:hAnsiTheme="majorHAnsi" w:cstheme="majorHAnsi"/>
                <w:color w:val="auto"/>
                <w:sz w:val="16"/>
                <w:szCs w:val="16"/>
              </w:rPr>
            </w:pPr>
          </w:p>
          <w:p w:rsidR="00BA513B" w:rsidRPr="00082420" w:rsidRDefault="00BA513B" w:rsidP="00BA513B">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eastAsiaTheme="minorEastAsia" w:hAnsiTheme="majorHAnsi" w:cstheme="majorHAnsi"/>
                <w:color w:val="auto"/>
                <w:sz w:val="16"/>
                <w:szCs w:val="16"/>
              </w:rPr>
            </w:pPr>
            <w:r w:rsidRPr="00082420">
              <w:rPr>
                <w:rFonts w:asciiTheme="majorHAnsi" w:eastAsiaTheme="minorEastAsia" w:hAnsiTheme="majorHAnsi" w:cstheme="majorHAnsi"/>
                <w:color w:val="auto"/>
                <w:sz w:val="16"/>
                <w:szCs w:val="16"/>
              </w:rPr>
              <w:t>Seguimiento a recomendaciones*</w:t>
            </w:r>
          </w:p>
          <w:p w:rsidR="00BA513B" w:rsidRPr="00082420" w:rsidRDefault="00BA513B" w:rsidP="00BA513B">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r w:rsidRPr="00082420">
              <w:rPr>
                <w:rFonts w:asciiTheme="majorHAnsi" w:eastAsiaTheme="minorEastAsia" w:hAnsiTheme="majorHAnsi" w:cstheme="majorHAnsi"/>
                <w:color w:val="auto"/>
                <w:sz w:val="16"/>
                <w:szCs w:val="16"/>
              </w:rPr>
              <w:t>Los municipios se coordinan con el estado para realizar acciones en torno al seguimiento a las evaluaciones, sin embargo, no es posible identificar un mecanismo de reporte de avance de las recomendaciones.</w:t>
            </w:r>
          </w:p>
        </w:tc>
        <w:tc>
          <w:tcPr>
            <w:tcW w:w="2835" w:type="dxa"/>
          </w:tcPr>
          <w:p w:rsidR="00815A16" w:rsidRPr="00082420" w:rsidRDefault="00BA513B">
            <w:pPr>
              <w:spacing w:after="0" w:line="259"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Como se mencionó anteriormente el municipio ha cumplido con el registro de información en el Sistema de Formato único.</w:t>
            </w:r>
          </w:p>
          <w:p w:rsidR="00BA513B" w:rsidRPr="00082420" w:rsidRDefault="00BA513B">
            <w:pPr>
              <w:spacing w:after="0" w:line="259"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p>
          <w:p w:rsidR="00082420" w:rsidRPr="00082420" w:rsidRDefault="00082420">
            <w:pPr>
              <w:spacing w:after="0" w:line="259"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El municipio de Aguascalientes concentra su atención en zonas con el mayor grado de rezago social.</w:t>
            </w:r>
          </w:p>
        </w:tc>
        <w:tc>
          <w:tcPr>
            <w:tcW w:w="3119" w:type="dxa"/>
          </w:tcPr>
          <w:p w:rsidR="00815A16" w:rsidRPr="00082420" w:rsidRDefault="00082420">
            <w:pPr>
              <w:spacing w:after="0" w:line="259"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Continuar trabajando para el cumplimiento de las disposiciones y el llenado de las plataformas relacionadas con el Fondo y sus indicadores.</w:t>
            </w:r>
          </w:p>
          <w:p w:rsidR="00082420" w:rsidRPr="00082420" w:rsidRDefault="00082420">
            <w:pPr>
              <w:spacing w:after="0" w:line="259"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p>
          <w:p w:rsidR="00082420" w:rsidRPr="00082420" w:rsidRDefault="00082420">
            <w:pPr>
              <w:spacing w:after="0" w:line="259"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Trabajar con mas apego a las recomendaciones hechas por el agente evaluador.</w:t>
            </w:r>
          </w:p>
        </w:tc>
      </w:tr>
      <w:tr w:rsidR="00815A16" w:rsidTr="00025F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815A16" w:rsidRPr="00082420" w:rsidRDefault="00815A16" w:rsidP="00815A16">
            <w:pPr>
              <w:pStyle w:val="Prrafodelista"/>
              <w:numPr>
                <w:ilvl w:val="0"/>
                <w:numId w:val="7"/>
              </w:numPr>
              <w:spacing w:after="0" w:line="259" w:lineRule="auto"/>
              <w:ind w:right="0"/>
              <w:jc w:val="left"/>
              <w:rPr>
                <w:rFonts w:asciiTheme="majorHAnsi" w:hAnsiTheme="majorHAnsi" w:cstheme="majorHAnsi"/>
                <w:sz w:val="16"/>
                <w:szCs w:val="16"/>
              </w:rPr>
            </w:pPr>
            <w:r w:rsidRPr="00082420">
              <w:rPr>
                <w:rFonts w:asciiTheme="majorHAnsi" w:hAnsiTheme="majorHAnsi" w:cstheme="majorHAnsi"/>
                <w:sz w:val="16"/>
                <w:szCs w:val="16"/>
              </w:rPr>
              <w:t>Recomendaciones</w:t>
            </w:r>
          </w:p>
          <w:p w:rsidR="00815A16" w:rsidRPr="00082420" w:rsidRDefault="00815A16" w:rsidP="00815A16">
            <w:pPr>
              <w:spacing w:after="0" w:line="259" w:lineRule="auto"/>
              <w:ind w:right="0"/>
              <w:jc w:val="left"/>
              <w:rPr>
                <w:rFonts w:asciiTheme="majorHAnsi" w:hAnsiTheme="majorHAnsi" w:cstheme="majorHAnsi"/>
                <w:sz w:val="16"/>
                <w:szCs w:val="16"/>
              </w:rPr>
            </w:pPr>
          </w:p>
        </w:tc>
        <w:tc>
          <w:tcPr>
            <w:tcW w:w="3260" w:type="dxa"/>
          </w:tcPr>
          <w:p w:rsidR="00082420" w:rsidRPr="00082420" w:rsidRDefault="00082420" w:rsidP="00082420">
            <w:pPr>
              <w:autoSpaceDE w:val="0"/>
              <w:autoSpaceDN w:val="0"/>
              <w:adjustRightInd w:val="0"/>
              <w:spacing w:after="0" w:line="240" w:lineRule="auto"/>
              <w:ind w:left="0" w:right="0" w:firstLine="0"/>
              <w:cnfStyle w:val="000000100000" w:firstRow="0" w:lastRow="0" w:firstColumn="0" w:lastColumn="0" w:oddVBand="0" w:evenVBand="0" w:oddHBand="1" w:evenHBand="0" w:firstRowFirstColumn="0" w:firstRowLastColumn="0" w:lastRowFirstColumn="0" w:lastRowLastColumn="0"/>
              <w:rPr>
                <w:rFonts w:asciiTheme="majorHAnsi" w:eastAsiaTheme="minorEastAsia" w:hAnsiTheme="majorHAnsi" w:cstheme="majorHAnsi"/>
                <w:color w:val="auto"/>
                <w:sz w:val="16"/>
                <w:szCs w:val="16"/>
              </w:rPr>
            </w:pPr>
            <w:r w:rsidRPr="00082420">
              <w:rPr>
                <w:rFonts w:asciiTheme="majorHAnsi" w:eastAsiaTheme="minorEastAsia" w:hAnsiTheme="majorHAnsi" w:cstheme="majorHAnsi"/>
                <w:color w:val="auto"/>
                <w:sz w:val="16"/>
                <w:szCs w:val="16"/>
              </w:rPr>
              <w:t>1. Capacitar al personal para el adecuado registro de la información de indicadores</w:t>
            </w:r>
          </w:p>
          <w:p w:rsidR="00082420" w:rsidRPr="00082420" w:rsidRDefault="00082420" w:rsidP="00082420">
            <w:pPr>
              <w:autoSpaceDE w:val="0"/>
              <w:autoSpaceDN w:val="0"/>
              <w:adjustRightInd w:val="0"/>
              <w:spacing w:after="0" w:line="240" w:lineRule="auto"/>
              <w:ind w:left="0" w:right="0" w:firstLine="0"/>
              <w:cnfStyle w:val="000000100000" w:firstRow="0" w:lastRow="0" w:firstColumn="0" w:lastColumn="0" w:oddVBand="0" w:evenVBand="0" w:oddHBand="1" w:evenHBand="0" w:firstRowFirstColumn="0" w:firstRowLastColumn="0" w:lastRowFirstColumn="0" w:lastRowLastColumn="0"/>
              <w:rPr>
                <w:rFonts w:asciiTheme="majorHAnsi" w:eastAsiaTheme="minorEastAsia" w:hAnsiTheme="majorHAnsi" w:cstheme="majorHAnsi"/>
                <w:color w:val="auto"/>
                <w:sz w:val="16"/>
                <w:szCs w:val="16"/>
              </w:rPr>
            </w:pPr>
          </w:p>
          <w:p w:rsidR="00082420" w:rsidRPr="00082420" w:rsidRDefault="00082420" w:rsidP="00082420">
            <w:pPr>
              <w:autoSpaceDE w:val="0"/>
              <w:autoSpaceDN w:val="0"/>
              <w:adjustRightInd w:val="0"/>
              <w:spacing w:after="0" w:line="240" w:lineRule="auto"/>
              <w:ind w:left="0" w:right="0" w:firstLine="0"/>
              <w:cnfStyle w:val="000000100000" w:firstRow="0" w:lastRow="0" w:firstColumn="0" w:lastColumn="0" w:oddVBand="0" w:evenVBand="0" w:oddHBand="1" w:evenHBand="0" w:firstRowFirstColumn="0" w:firstRowLastColumn="0" w:lastRowFirstColumn="0" w:lastRowLastColumn="0"/>
              <w:rPr>
                <w:rFonts w:asciiTheme="majorHAnsi" w:eastAsiaTheme="minorEastAsia" w:hAnsiTheme="majorHAnsi" w:cstheme="majorHAnsi"/>
                <w:color w:val="auto"/>
                <w:sz w:val="16"/>
                <w:szCs w:val="16"/>
              </w:rPr>
            </w:pPr>
            <w:r w:rsidRPr="00082420">
              <w:rPr>
                <w:rFonts w:asciiTheme="majorHAnsi" w:eastAsiaTheme="minorEastAsia" w:hAnsiTheme="majorHAnsi" w:cstheme="majorHAnsi"/>
                <w:color w:val="auto"/>
                <w:sz w:val="16"/>
                <w:szCs w:val="16"/>
              </w:rPr>
              <w:t xml:space="preserve">2. Elaborar una estrategia de cobertura para la atención de las localidades considerando su grado de rezago social. </w:t>
            </w:r>
          </w:p>
          <w:p w:rsidR="00082420" w:rsidRPr="00082420" w:rsidRDefault="00082420" w:rsidP="00082420">
            <w:pPr>
              <w:autoSpaceDE w:val="0"/>
              <w:autoSpaceDN w:val="0"/>
              <w:adjustRightInd w:val="0"/>
              <w:spacing w:after="0" w:line="240" w:lineRule="auto"/>
              <w:ind w:left="0" w:right="0" w:firstLine="0"/>
              <w:cnfStyle w:val="000000100000" w:firstRow="0" w:lastRow="0" w:firstColumn="0" w:lastColumn="0" w:oddVBand="0" w:evenVBand="0" w:oddHBand="1" w:evenHBand="0" w:firstRowFirstColumn="0" w:firstRowLastColumn="0" w:lastRowFirstColumn="0" w:lastRowLastColumn="0"/>
              <w:rPr>
                <w:rFonts w:asciiTheme="majorHAnsi" w:eastAsiaTheme="minorEastAsia" w:hAnsiTheme="majorHAnsi" w:cstheme="majorHAnsi"/>
                <w:color w:val="auto"/>
                <w:sz w:val="16"/>
                <w:szCs w:val="16"/>
              </w:rPr>
            </w:pPr>
          </w:p>
          <w:p w:rsidR="00815A16" w:rsidRPr="00082420" w:rsidRDefault="00082420" w:rsidP="00082420">
            <w:pPr>
              <w:autoSpaceDE w:val="0"/>
              <w:autoSpaceDN w:val="0"/>
              <w:adjustRightInd w:val="0"/>
              <w:spacing w:after="0" w:line="240" w:lineRule="auto"/>
              <w:ind w:left="0" w:right="0" w:firstLine="0"/>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082420">
              <w:rPr>
                <w:rFonts w:asciiTheme="majorHAnsi" w:eastAsiaTheme="minorEastAsia" w:hAnsiTheme="majorHAnsi" w:cstheme="majorHAnsi"/>
                <w:color w:val="auto"/>
                <w:sz w:val="16"/>
                <w:szCs w:val="16"/>
              </w:rPr>
              <w:t>3. Considerar las carencias sociales identificadas en la entidad en la planeación de los recursos del Fondo.</w:t>
            </w:r>
          </w:p>
        </w:tc>
        <w:tc>
          <w:tcPr>
            <w:tcW w:w="2835" w:type="dxa"/>
          </w:tcPr>
          <w:p w:rsidR="00815A16" w:rsidRPr="00082420" w:rsidRDefault="00082420">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La federación deberá dar mayor capacitación en el manejo de información estadística sobre pobreza y rezago social a fin de poder identificar con mayor certeza cuáles son las localidades a que hace referencia como las de los dos grados de rezago social más alto.</w:t>
            </w:r>
          </w:p>
        </w:tc>
        <w:tc>
          <w:tcPr>
            <w:tcW w:w="3119" w:type="dxa"/>
          </w:tcPr>
          <w:p w:rsidR="00815A16" w:rsidRPr="00082420" w:rsidRDefault="00082420">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Continuar trabajando para dar atención a las recomendaciones.</w:t>
            </w:r>
          </w:p>
        </w:tc>
      </w:tr>
    </w:tbl>
    <w:p w:rsidR="00C173C6" w:rsidRDefault="000E3044">
      <w:pPr>
        <w:spacing w:after="0" w:line="259" w:lineRule="auto"/>
        <w:ind w:left="0" w:right="0" w:firstLine="0"/>
        <w:jc w:val="left"/>
      </w:pPr>
      <w:r>
        <w:rPr>
          <w:sz w:val="18"/>
        </w:rPr>
        <w:t xml:space="preserve"> </w:t>
      </w:r>
      <w:r>
        <w:rPr>
          <w:sz w:val="18"/>
        </w:rPr>
        <w:tab/>
        <w:t xml:space="preserve"> </w:t>
      </w:r>
      <w:r>
        <w:rPr>
          <w:sz w:val="18"/>
        </w:rPr>
        <w:tab/>
        <w:t xml:space="preserve"> </w:t>
      </w:r>
      <w:r>
        <w:rPr>
          <w:sz w:val="18"/>
        </w:rPr>
        <w:tab/>
        <w:t xml:space="preserve"> </w:t>
      </w:r>
    </w:p>
    <w:p w:rsidR="004326FE" w:rsidRDefault="004326FE">
      <w:pPr>
        <w:spacing w:after="0" w:line="259" w:lineRule="auto"/>
        <w:ind w:left="0" w:right="0" w:firstLine="0"/>
        <w:jc w:val="left"/>
      </w:pPr>
    </w:p>
    <w:p w:rsidR="00815A16" w:rsidRDefault="00815A16" w:rsidP="00815A16">
      <w:pPr>
        <w:pStyle w:val="Default"/>
      </w:pPr>
    </w:p>
    <w:p w:rsidR="00815A16" w:rsidRDefault="00815A16" w:rsidP="00815A16">
      <w:pPr>
        <w:pStyle w:val="Default"/>
      </w:pPr>
      <w:r>
        <w:t xml:space="preserve"> </w:t>
      </w:r>
    </w:p>
    <w:p w:rsidR="00815A16" w:rsidRDefault="00815A16" w:rsidP="00815A16">
      <w:pPr>
        <w:pStyle w:val="Default"/>
        <w:rPr>
          <w:sz w:val="22"/>
          <w:szCs w:val="22"/>
        </w:rPr>
      </w:pPr>
      <w:r>
        <w:rPr>
          <w:b/>
          <w:bCs/>
          <w:sz w:val="22"/>
          <w:szCs w:val="22"/>
        </w:rPr>
        <w:t xml:space="preserve">2. Posición Institucional respecto de la evaluación </w:t>
      </w:r>
    </w:p>
    <w:p w:rsidR="00815A16" w:rsidRDefault="00815A16" w:rsidP="00815A16">
      <w:pPr>
        <w:pStyle w:val="Default"/>
        <w:rPr>
          <w:sz w:val="14"/>
          <w:szCs w:val="14"/>
        </w:rPr>
      </w:pPr>
      <w:r>
        <w:rPr>
          <w:sz w:val="22"/>
          <w:szCs w:val="22"/>
        </w:rPr>
        <w:t>El objetivo de este apartado es presentar de form</w:t>
      </w:r>
      <w:r w:rsidR="00CA7B01">
        <w:rPr>
          <w:sz w:val="22"/>
          <w:szCs w:val="22"/>
        </w:rPr>
        <w:t>a general el punto de vista del</w:t>
      </w:r>
      <w:r>
        <w:rPr>
          <w:sz w:val="22"/>
          <w:szCs w:val="22"/>
        </w:rPr>
        <w:t xml:space="preserve"> </w:t>
      </w:r>
      <w:r w:rsidR="00CA7B01">
        <w:rPr>
          <w:sz w:val="22"/>
          <w:szCs w:val="22"/>
        </w:rPr>
        <w:t xml:space="preserve">Municipio </w:t>
      </w:r>
      <w:r>
        <w:rPr>
          <w:sz w:val="22"/>
          <w:szCs w:val="22"/>
        </w:rPr>
        <w:t xml:space="preserve">con respecto a los resultados de la evaluación, al proceso de evaluación y al instrumento de evaluación. </w:t>
      </w:r>
    </w:p>
    <w:p w:rsidR="00815A16" w:rsidRDefault="00815A16" w:rsidP="00815A16">
      <w:pPr>
        <w:pStyle w:val="Default"/>
        <w:rPr>
          <w:sz w:val="14"/>
          <w:szCs w:val="14"/>
        </w:rPr>
      </w:pPr>
    </w:p>
    <w:p w:rsidR="00815A16" w:rsidRDefault="00815A16" w:rsidP="00815A16">
      <w:pPr>
        <w:pStyle w:val="Default"/>
        <w:rPr>
          <w:sz w:val="22"/>
          <w:szCs w:val="22"/>
        </w:rPr>
      </w:pPr>
      <w:r>
        <w:rPr>
          <w:b/>
          <w:bCs/>
          <w:sz w:val="22"/>
          <w:szCs w:val="22"/>
        </w:rPr>
        <w:t xml:space="preserve">2.1 Comentarios específicos </w:t>
      </w:r>
    </w:p>
    <w:p w:rsidR="00815A16" w:rsidRDefault="00815A16" w:rsidP="00815A16">
      <w:pPr>
        <w:pStyle w:val="Default"/>
        <w:rPr>
          <w:sz w:val="22"/>
          <w:szCs w:val="22"/>
        </w:rPr>
      </w:pPr>
      <w:r>
        <w:rPr>
          <w:sz w:val="22"/>
          <w:szCs w:val="22"/>
        </w:rPr>
        <w:t xml:space="preserve">En este apartado se espera contar con los comentarios de los resultados de la evaluación realizada, es decir, sobre los hallazgos, debilidades, oportunidades y amenazas detectadas. </w:t>
      </w:r>
    </w:p>
    <w:p w:rsidR="00815A16" w:rsidRDefault="00815A16" w:rsidP="00815A16">
      <w:pPr>
        <w:pStyle w:val="Default"/>
        <w:rPr>
          <w:b/>
          <w:bCs/>
          <w:sz w:val="22"/>
          <w:szCs w:val="22"/>
        </w:rPr>
      </w:pPr>
    </w:p>
    <w:p w:rsidR="00815A16" w:rsidRDefault="00815A16" w:rsidP="00815A16">
      <w:pPr>
        <w:pStyle w:val="Default"/>
        <w:rPr>
          <w:sz w:val="22"/>
          <w:szCs w:val="22"/>
        </w:rPr>
      </w:pPr>
      <w:r>
        <w:rPr>
          <w:b/>
          <w:bCs/>
          <w:sz w:val="22"/>
          <w:szCs w:val="22"/>
        </w:rPr>
        <w:t xml:space="preserve">2.2 Comentarios generales </w:t>
      </w:r>
    </w:p>
    <w:p w:rsidR="00815A16" w:rsidRDefault="00815A16" w:rsidP="00815A16">
      <w:pPr>
        <w:pStyle w:val="Default"/>
        <w:rPr>
          <w:sz w:val="22"/>
          <w:szCs w:val="22"/>
        </w:rPr>
      </w:pPr>
      <w:r>
        <w:rPr>
          <w:sz w:val="22"/>
          <w:szCs w:val="22"/>
        </w:rPr>
        <w:t xml:space="preserve">En este apartado, el objetivo es presentar comentarios sobre el proceso de evaluación, por ejemplo, sobre la elaboración por parte de la dependencia coordinadora del fondo, las fuentes de información de la ficha, tiempo de elaboración, así como, del instrumento de evaluación, o cualquier otro elemento que se considere importante en la evaluación del fondo. </w:t>
      </w:r>
    </w:p>
    <w:p w:rsidR="00815A16" w:rsidRDefault="00815A16" w:rsidP="00815A16">
      <w:pPr>
        <w:pStyle w:val="Default"/>
        <w:rPr>
          <w:b/>
          <w:bCs/>
          <w:sz w:val="22"/>
          <w:szCs w:val="22"/>
        </w:rPr>
      </w:pPr>
    </w:p>
    <w:p w:rsidR="000C4D5F" w:rsidRDefault="00815A16" w:rsidP="00CA7B01">
      <w:pPr>
        <w:pStyle w:val="Default"/>
        <w:rPr>
          <w:b/>
          <w:bCs/>
        </w:rPr>
      </w:pPr>
      <w:r>
        <w:rPr>
          <w:b/>
          <w:bCs/>
          <w:sz w:val="22"/>
          <w:szCs w:val="22"/>
        </w:rPr>
        <w:t xml:space="preserve">3.3 Referencia a las unidades y responsables que participaron en la </w:t>
      </w:r>
      <w:r>
        <w:rPr>
          <w:b/>
          <w:bCs/>
        </w:rPr>
        <w:t>elaboración de la posición institucional</w:t>
      </w:r>
      <w:r w:rsidR="00CA7B01">
        <w:rPr>
          <w:b/>
          <w:bCs/>
        </w:rPr>
        <w:t>.</w:t>
      </w:r>
    </w:p>
    <w:p w:rsidR="00C401BA" w:rsidRDefault="00C401BA" w:rsidP="00CA7B01">
      <w:pPr>
        <w:pStyle w:val="Default"/>
        <w:rPr>
          <w:b/>
          <w:bCs/>
        </w:rPr>
      </w:pPr>
    </w:p>
    <w:p w:rsidR="00DA0A37" w:rsidRPr="00DA0A37" w:rsidRDefault="00DA0A37" w:rsidP="00DA0A37">
      <w:pPr>
        <w:pStyle w:val="Default"/>
      </w:pPr>
      <w:r w:rsidRPr="00DA0A37">
        <w:rPr>
          <w:bCs/>
        </w:rPr>
        <w:t xml:space="preserve">El Instituto Municipal de Planeación (IMPLAN), el Lic. </w:t>
      </w:r>
      <w:r w:rsidR="00082420">
        <w:rPr>
          <w:bCs/>
        </w:rPr>
        <w:t>César Alejandro Andrade Romo</w:t>
      </w:r>
      <w:r w:rsidRPr="00DA0A37">
        <w:rPr>
          <w:bCs/>
        </w:rPr>
        <w:t xml:space="preserve">, Jefe del Departamento </w:t>
      </w:r>
      <w:r w:rsidR="00082420">
        <w:rPr>
          <w:bCs/>
        </w:rPr>
        <w:t>de Programación e Inversión de Obra Pública</w:t>
      </w:r>
      <w:r w:rsidRPr="00DA0A37">
        <w:rPr>
          <w:bCs/>
        </w:rPr>
        <w:t xml:space="preserve">, con información proporcionada </w:t>
      </w:r>
      <w:r w:rsidR="00082420">
        <w:rPr>
          <w:bCs/>
        </w:rPr>
        <w:t xml:space="preserve">por el Instituto Municipal de Planeación, la </w:t>
      </w:r>
      <w:r w:rsidRPr="00DA0A37">
        <w:rPr>
          <w:bCs/>
        </w:rPr>
        <w:t>Secretaría de Obra</w:t>
      </w:r>
      <w:r w:rsidR="00082420">
        <w:rPr>
          <w:bCs/>
        </w:rPr>
        <w:t>s</w:t>
      </w:r>
      <w:r w:rsidRPr="00DA0A37">
        <w:rPr>
          <w:bCs/>
        </w:rPr>
        <w:t xml:space="preserve"> Pública</w:t>
      </w:r>
      <w:r w:rsidR="00082420">
        <w:rPr>
          <w:bCs/>
        </w:rPr>
        <w:t xml:space="preserve">s, </w:t>
      </w:r>
      <w:r w:rsidRPr="00DA0A37">
        <w:rPr>
          <w:bCs/>
        </w:rPr>
        <w:t>la Secretaría de Desarrollo Social</w:t>
      </w:r>
      <w:r w:rsidR="00082420">
        <w:rPr>
          <w:bCs/>
        </w:rPr>
        <w:t xml:space="preserve"> y la Comisión Ciudadana de Agua Potable y Alcantarillado del Municipio de Aguascalientes.</w:t>
      </w:r>
    </w:p>
    <w:p w:rsidR="00DA0A37" w:rsidRDefault="00DA0A37" w:rsidP="00CA7B01">
      <w:pPr>
        <w:pStyle w:val="Default"/>
        <w:rPr>
          <w:b/>
          <w:bCs/>
        </w:rPr>
      </w:pPr>
    </w:p>
    <w:p w:rsidR="00C401BA" w:rsidRDefault="00C401BA" w:rsidP="00CA7B01">
      <w:pPr>
        <w:pStyle w:val="Default"/>
      </w:pPr>
    </w:p>
    <w:sectPr w:rsidR="00C401BA" w:rsidSect="00025F69">
      <w:footnotePr>
        <w:numRestart w:val="eachPage"/>
      </w:footnotePr>
      <w:pgSz w:w="12240" w:h="15840" w:code="1"/>
      <w:pgMar w:top="720" w:right="720" w:bottom="720" w:left="72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372" w:rsidRDefault="00514372">
      <w:pPr>
        <w:spacing w:after="0" w:line="240" w:lineRule="auto"/>
      </w:pPr>
      <w:r>
        <w:separator/>
      </w:r>
    </w:p>
  </w:endnote>
  <w:endnote w:type="continuationSeparator" w:id="0">
    <w:p w:rsidR="00514372" w:rsidRDefault="00514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372" w:rsidRDefault="00514372">
      <w:pPr>
        <w:spacing w:after="30" w:line="244" w:lineRule="auto"/>
        <w:ind w:left="0" w:right="0" w:firstLine="0"/>
      </w:pPr>
      <w:r>
        <w:separator/>
      </w:r>
    </w:p>
  </w:footnote>
  <w:footnote w:type="continuationSeparator" w:id="0">
    <w:p w:rsidR="00514372" w:rsidRDefault="00514372">
      <w:pPr>
        <w:spacing w:after="30" w:line="244" w:lineRule="auto"/>
        <w:ind w:left="0" w:right="0" w:firstLin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C0E5B"/>
    <w:multiLevelType w:val="hybridMultilevel"/>
    <w:tmpl w:val="E2DCB324"/>
    <w:lvl w:ilvl="0" w:tplc="D60C168A">
      <w:start w:val="4"/>
      <w:numFmt w:val="decimal"/>
      <w:lvlText w:val="%1."/>
      <w:lvlJc w:val="left"/>
      <w:pPr>
        <w:ind w:left="3933"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32826F09"/>
    <w:multiLevelType w:val="hybridMultilevel"/>
    <w:tmpl w:val="8456609C"/>
    <w:lvl w:ilvl="0" w:tplc="080A0019">
      <w:start w:val="1"/>
      <w:numFmt w:val="lowerLetter"/>
      <w:lvlText w:val="%1."/>
      <w:lvlJc w:val="left"/>
      <w:pPr>
        <w:ind w:left="1773" w:hanging="360"/>
      </w:pPr>
    </w:lvl>
    <w:lvl w:ilvl="1" w:tplc="080A0019">
      <w:start w:val="1"/>
      <w:numFmt w:val="lowerLetter"/>
      <w:lvlText w:val="%2."/>
      <w:lvlJc w:val="left"/>
      <w:pPr>
        <w:ind w:left="2493" w:hanging="360"/>
      </w:pPr>
    </w:lvl>
    <w:lvl w:ilvl="2" w:tplc="080A001B">
      <w:start w:val="1"/>
      <w:numFmt w:val="lowerRoman"/>
      <w:lvlText w:val="%3."/>
      <w:lvlJc w:val="right"/>
      <w:pPr>
        <w:ind w:left="3213" w:hanging="180"/>
      </w:pPr>
    </w:lvl>
    <w:lvl w:ilvl="3" w:tplc="080A000F">
      <w:start w:val="1"/>
      <w:numFmt w:val="decimal"/>
      <w:lvlText w:val="%4."/>
      <w:lvlJc w:val="left"/>
      <w:pPr>
        <w:ind w:left="3933" w:hanging="360"/>
      </w:pPr>
    </w:lvl>
    <w:lvl w:ilvl="4" w:tplc="080A0019">
      <w:start w:val="1"/>
      <w:numFmt w:val="lowerLetter"/>
      <w:lvlText w:val="%5."/>
      <w:lvlJc w:val="left"/>
      <w:pPr>
        <w:ind w:left="4653" w:hanging="360"/>
      </w:pPr>
    </w:lvl>
    <w:lvl w:ilvl="5" w:tplc="080A001B">
      <w:start w:val="1"/>
      <w:numFmt w:val="lowerRoman"/>
      <w:lvlText w:val="%6."/>
      <w:lvlJc w:val="right"/>
      <w:pPr>
        <w:ind w:left="5373" w:hanging="180"/>
      </w:pPr>
    </w:lvl>
    <w:lvl w:ilvl="6" w:tplc="080A000F" w:tentative="1">
      <w:start w:val="1"/>
      <w:numFmt w:val="decimal"/>
      <w:lvlText w:val="%7."/>
      <w:lvlJc w:val="left"/>
      <w:pPr>
        <w:ind w:left="6093" w:hanging="360"/>
      </w:pPr>
    </w:lvl>
    <w:lvl w:ilvl="7" w:tplc="080A0019" w:tentative="1">
      <w:start w:val="1"/>
      <w:numFmt w:val="lowerLetter"/>
      <w:lvlText w:val="%8."/>
      <w:lvlJc w:val="left"/>
      <w:pPr>
        <w:ind w:left="6813" w:hanging="360"/>
      </w:pPr>
    </w:lvl>
    <w:lvl w:ilvl="8" w:tplc="080A001B" w:tentative="1">
      <w:start w:val="1"/>
      <w:numFmt w:val="lowerRoman"/>
      <w:lvlText w:val="%9."/>
      <w:lvlJc w:val="right"/>
      <w:pPr>
        <w:ind w:left="7533" w:hanging="180"/>
      </w:pPr>
    </w:lvl>
  </w:abstractNum>
  <w:abstractNum w:abstractNumId="2" w15:restartNumberingAfterBreak="0">
    <w:nsid w:val="34CB1019"/>
    <w:multiLevelType w:val="hybridMultilevel"/>
    <w:tmpl w:val="3C94687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4B39063D"/>
    <w:multiLevelType w:val="hybridMultilevel"/>
    <w:tmpl w:val="0CFC6CC8"/>
    <w:lvl w:ilvl="0" w:tplc="613801A6">
      <w:start w:val="1"/>
      <w:numFmt w:val="lowerLetter"/>
      <w:lvlText w:val="%1."/>
      <w:lvlJc w:val="left"/>
      <w:pPr>
        <w:ind w:left="1773"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4E6F2D74"/>
    <w:multiLevelType w:val="hybridMultilevel"/>
    <w:tmpl w:val="2FD8F6AE"/>
    <w:lvl w:ilvl="0" w:tplc="81947878">
      <w:start w:val="1"/>
      <w:numFmt w:val="decimal"/>
      <w:lvlText w:val="%1."/>
      <w:lvlJc w:val="left"/>
      <w:pPr>
        <w:ind w:left="1053" w:hanging="360"/>
      </w:pPr>
      <w:rPr>
        <w:rFonts w:ascii="Century Gothic" w:eastAsia="Century Gothic" w:hAnsi="Century Gothic" w:cs="Century Gothic" w:hint="default"/>
      </w:rPr>
    </w:lvl>
    <w:lvl w:ilvl="1" w:tplc="080A0019">
      <w:start w:val="1"/>
      <w:numFmt w:val="lowerLetter"/>
      <w:lvlText w:val="%2."/>
      <w:lvlJc w:val="left"/>
      <w:pPr>
        <w:ind w:left="1773" w:hanging="360"/>
      </w:pPr>
    </w:lvl>
    <w:lvl w:ilvl="2" w:tplc="080A001B">
      <w:start w:val="1"/>
      <w:numFmt w:val="lowerRoman"/>
      <w:lvlText w:val="%3."/>
      <w:lvlJc w:val="right"/>
      <w:pPr>
        <w:ind w:left="2493" w:hanging="180"/>
      </w:pPr>
    </w:lvl>
    <w:lvl w:ilvl="3" w:tplc="080A000F">
      <w:start w:val="1"/>
      <w:numFmt w:val="decimal"/>
      <w:lvlText w:val="%4."/>
      <w:lvlJc w:val="left"/>
      <w:pPr>
        <w:ind w:left="3213" w:hanging="360"/>
      </w:pPr>
    </w:lvl>
    <w:lvl w:ilvl="4" w:tplc="080A0019">
      <w:start w:val="1"/>
      <w:numFmt w:val="lowerLetter"/>
      <w:lvlText w:val="%5."/>
      <w:lvlJc w:val="left"/>
      <w:pPr>
        <w:ind w:left="3933" w:hanging="360"/>
      </w:pPr>
    </w:lvl>
    <w:lvl w:ilvl="5" w:tplc="080A001B">
      <w:start w:val="1"/>
      <w:numFmt w:val="lowerRoman"/>
      <w:lvlText w:val="%6."/>
      <w:lvlJc w:val="right"/>
      <w:pPr>
        <w:ind w:left="4653" w:hanging="180"/>
      </w:pPr>
    </w:lvl>
    <w:lvl w:ilvl="6" w:tplc="080A000F">
      <w:start w:val="1"/>
      <w:numFmt w:val="decimal"/>
      <w:lvlText w:val="%7."/>
      <w:lvlJc w:val="left"/>
      <w:pPr>
        <w:ind w:left="5373" w:hanging="360"/>
      </w:pPr>
    </w:lvl>
    <w:lvl w:ilvl="7" w:tplc="080A0019" w:tentative="1">
      <w:start w:val="1"/>
      <w:numFmt w:val="lowerLetter"/>
      <w:lvlText w:val="%8."/>
      <w:lvlJc w:val="left"/>
      <w:pPr>
        <w:ind w:left="6093" w:hanging="360"/>
      </w:pPr>
    </w:lvl>
    <w:lvl w:ilvl="8" w:tplc="080A001B" w:tentative="1">
      <w:start w:val="1"/>
      <w:numFmt w:val="lowerRoman"/>
      <w:lvlText w:val="%9."/>
      <w:lvlJc w:val="right"/>
      <w:pPr>
        <w:ind w:left="6813" w:hanging="180"/>
      </w:pPr>
    </w:lvl>
  </w:abstractNum>
  <w:abstractNum w:abstractNumId="5" w15:restartNumberingAfterBreak="0">
    <w:nsid w:val="4EDA48BE"/>
    <w:multiLevelType w:val="hybridMultilevel"/>
    <w:tmpl w:val="0D3E7890"/>
    <w:lvl w:ilvl="0" w:tplc="5FB28CDE">
      <w:start w:val="1"/>
      <w:numFmt w:val="lowerLetter"/>
      <w:lvlText w:val="%1."/>
      <w:lvlJc w:val="left"/>
      <w:pPr>
        <w:ind w:left="1773"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80D5085"/>
    <w:multiLevelType w:val="hybridMultilevel"/>
    <w:tmpl w:val="8456609C"/>
    <w:lvl w:ilvl="0" w:tplc="080A0019">
      <w:start w:val="1"/>
      <w:numFmt w:val="lowerLetter"/>
      <w:lvlText w:val="%1."/>
      <w:lvlJc w:val="left"/>
      <w:pPr>
        <w:ind w:left="1773" w:hanging="360"/>
      </w:pPr>
    </w:lvl>
    <w:lvl w:ilvl="1" w:tplc="080A0019">
      <w:start w:val="1"/>
      <w:numFmt w:val="lowerLetter"/>
      <w:lvlText w:val="%2."/>
      <w:lvlJc w:val="left"/>
      <w:pPr>
        <w:ind w:left="2493" w:hanging="360"/>
      </w:pPr>
    </w:lvl>
    <w:lvl w:ilvl="2" w:tplc="080A001B">
      <w:start w:val="1"/>
      <w:numFmt w:val="lowerRoman"/>
      <w:lvlText w:val="%3."/>
      <w:lvlJc w:val="right"/>
      <w:pPr>
        <w:ind w:left="3213" w:hanging="180"/>
      </w:pPr>
    </w:lvl>
    <w:lvl w:ilvl="3" w:tplc="080A000F">
      <w:start w:val="1"/>
      <w:numFmt w:val="decimal"/>
      <w:lvlText w:val="%4."/>
      <w:lvlJc w:val="left"/>
      <w:pPr>
        <w:ind w:left="3933" w:hanging="360"/>
      </w:pPr>
    </w:lvl>
    <w:lvl w:ilvl="4" w:tplc="080A0019">
      <w:start w:val="1"/>
      <w:numFmt w:val="lowerLetter"/>
      <w:lvlText w:val="%5."/>
      <w:lvlJc w:val="left"/>
      <w:pPr>
        <w:ind w:left="4653" w:hanging="360"/>
      </w:pPr>
    </w:lvl>
    <w:lvl w:ilvl="5" w:tplc="080A001B">
      <w:start w:val="1"/>
      <w:numFmt w:val="lowerRoman"/>
      <w:lvlText w:val="%6."/>
      <w:lvlJc w:val="right"/>
      <w:pPr>
        <w:ind w:left="5373" w:hanging="180"/>
      </w:pPr>
    </w:lvl>
    <w:lvl w:ilvl="6" w:tplc="080A000F" w:tentative="1">
      <w:start w:val="1"/>
      <w:numFmt w:val="decimal"/>
      <w:lvlText w:val="%7."/>
      <w:lvlJc w:val="left"/>
      <w:pPr>
        <w:ind w:left="6093" w:hanging="360"/>
      </w:pPr>
    </w:lvl>
    <w:lvl w:ilvl="7" w:tplc="080A0019" w:tentative="1">
      <w:start w:val="1"/>
      <w:numFmt w:val="lowerLetter"/>
      <w:lvlText w:val="%8."/>
      <w:lvlJc w:val="left"/>
      <w:pPr>
        <w:ind w:left="6813" w:hanging="360"/>
      </w:pPr>
    </w:lvl>
    <w:lvl w:ilvl="8" w:tplc="080A001B" w:tentative="1">
      <w:start w:val="1"/>
      <w:numFmt w:val="lowerRoman"/>
      <w:lvlText w:val="%9."/>
      <w:lvlJc w:val="right"/>
      <w:pPr>
        <w:ind w:left="7533" w:hanging="180"/>
      </w:pPr>
    </w:lvl>
  </w:abstractNum>
  <w:num w:numId="1">
    <w:abstractNumId w:val="4"/>
  </w:num>
  <w:num w:numId="2">
    <w:abstractNumId w:val="6"/>
  </w:num>
  <w:num w:numId="3">
    <w:abstractNumId w:val="1"/>
  </w:num>
  <w:num w:numId="4">
    <w:abstractNumId w:val="0"/>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3C6"/>
    <w:rsid w:val="00025F69"/>
    <w:rsid w:val="00082420"/>
    <w:rsid w:val="000A7EF9"/>
    <w:rsid w:val="000C4D5F"/>
    <w:rsid w:val="000E3044"/>
    <w:rsid w:val="00160CC3"/>
    <w:rsid w:val="001970A4"/>
    <w:rsid w:val="002005FD"/>
    <w:rsid w:val="002938CD"/>
    <w:rsid w:val="0031286F"/>
    <w:rsid w:val="00321B32"/>
    <w:rsid w:val="00362CC9"/>
    <w:rsid w:val="003D687D"/>
    <w:rsid w:val="003E703F"/>
    <w:rsid w:val="004326FE"/>
    <w:rsid w:val="004A43EB"/>
    <w:rsid w:val="004F2253"/>
    <w:rsid w:val="004F68A7"/>
    <w:rsid w:val="00514372"/>
    <w:rsid w:val="00571237"/>
    <w:rsid w:val="0061017D"/>
    <w:rsid w:val="00616509"/>
    <w:rsid w:val="006C5C26"/>
    <w:rsid w:val="007106CA"/>
    <w:rsid w:val="00792594"/>
    <w:rsid w:val="007B24BA"/>
    <w:rsid w:val="007D0AC4"/>
    <w:rsid w:val="00815A16"/>
    <w:rsid w:val="00824C6D"/>
    <w:rsid w:val="00883B84"/>
    <w:rsid w:val="008F4BA8"/>
    <w:rsid w:val="00995EDA"/>
    <w:rsid w:val="009C1AB7"/>
    <w:rsid w:val="00A23C47"/>
    <w:rsid w:val="00A43943"/>
    <w:rsid w:val="00A44DD8"/>
    <w:rsid w:val="00B233E9"/>
    <w:rsid w:val="00B34A60"/>
    <w:rsid w:val="00B515AB"/>
    <w:rsid w:val="00BA513B"/>
    <w:rsid w:val="00BD7C71"/>
    <w:rsid w:val="00BF4470"/>
    <w:rsid w:val="00BF729C"/>
    <w:rsid w:val="00C173C6"/>
    <w:rsid w:val="00C34471"/>
    <w:rsid w:val="00C35E74"/>
    <w:rsid w:val="00C401BA"/>
    <w:rsid w:val="00CA7B01"/>
    <w:rsid w:val="00CD0CBD"/>
    <w:rsid w:val="00DA0A37"/>
    <w:rsid w:val="00DF2C99"/>
    <w:rsid w:val="00E010FB"/>
    <w:rsid w:val="00E32281"/>
    <w:rsid w:val="00E81A83"/>
    <w:rsid w:val="00EA4609"/>
    <w:rsid w:val="00F347C7"/>
    <w:rsid w:val="00FF19A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A2DAA3-927D-4933-A7CA-6CADA8D76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6" w:line="233" w:lineRule="auto"/>
      <w:ind w:left="10" w:right="3" w:hanging="10"/>
      <w:jc w:val="both"/>
    </w:pPr>
    <w:rPr>
      <w:rFonts w:ascii="Century Gothic" w:eastAsia="Century Gothic" w:hAnsi="Century Gothic" w:cs="Century Gothic"/>
      <w:color w:val="000000"/>
    </w:rPr>
  </w:style>
  <w:style w:type="paragraph" w:styleId="Ttulo1">
    <w:name w:val="heading 1"/>
    <w:next w:val="Normal"/>
    <w:link w:val="Ttulo1Car"/>
    <w:uiPriority w:val="9"/>
    <w:unhideWhenUsed/>
    <w:qFormat/>
    <w:pPr>
      <w:keepNext/>
      <w:keepLines/>
      <w:spacing w:after="4" w:line="250" w:lineRule="auto"/>
      <w:ind w:left="10" w:hanging="10"/>
      <w:outlineLvl w:val="0"/>
    </w:pPr>
    <w:rPr>
      <w:rFonts w:ascii="Century Gothic" w:eastAsia="Century Gothic" w:hAnsi="Century Gothic" w:cs="Century Gothic"/>
      <w:b/>
      <w:color w:val="000000"/>
    </w:rPr>
  </w:style>
  <w:style w:type="paragraph" w:styleId="Ttulo2">
    <w:name w:val="heading 2"/>
    <w:next w:val="Normal"/>
    <w:link w:val="Ttulo2Car"/>
    <w:uiPriority w:val="9"/>
    <w:unhideWhenUsed/>
    <w:qFormat/>
    <w:pPr>
      <w:keepNext/>
      <w:keepLines/>
      <w:spacing w:after="4" w:line="250" w:lineRule="auto"/>
      <w:ind w:left="10" w:hanging="10"/>
      <w:outlineLvl w:val="1"/>
    </w:pPr>
    <w:rPr>
      <w:rFonts w:ascii="Century Gothic" w:eastAsia="Century Gothic" w:hAnsi="Century Gothic" w:cs="Century Gothic"/>
      <w:b/>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Century Gothic" w:eastAsia="Century Gothic" w:hAnsi="Century Gothic" w:cs="Century Gothic"/>
      <w:b/>
      <w:color w:val="000000"/>
      <w:sz w:val="22"/>
    </w:rPr>
  </w:style>
  <w:style w:type="paragraph" w:customStyle="1" w:styleId="footnotedescription">
    <w:name w:val="footnote description"/>
    <w:next w:val="Normal"/>
    <w:link w:val="footnotedescriptionChar"/>
    <w:hidden/>
    <w:pPr>
      <w:spacing w:after="15" w:line="252" w:lineRule="auto"/>
    </w:pPr>
    <w:rPr>
      <w:rFonts w:ascii="Century Gothic" w:eastAsia="Century Gothic" w:hAnsi="Century Gothic" w:cs="Century Gothic"/>
      <w:color w:val="000000"/>
      <w:sz w:val="18"/>
    </w:rPr>
  </w:style>
  <w:style w:type="character" w:customStyle="1" w:styleId="footnotedescriptionChar">
    <w:name w:val="footnote description Char"/>
    <w:link w:val="footnotedescription"/>
    <w:rPr>
      <w:rFonts w:ascii="Century Gothic" w:eastAsia="Century Gothic" w:hAnsi="Century Gothic" w:cs="Century Gothic"/>
      <w:color w:val="000000"/>
      <w:sz w:val="18"/>
    </w:rPr>
  </w:style>
  <w:style w:type="character" w:customStyle="1" w:styleId="Ttulo2Car">
    <w:name w:val="Título 2 Car"/>
    <w:link w:val="Ttulo2"/>
    <w:rPr>
      <w:rFonts w:ascii="Century Gothic" w:eastAsia="Century Gothic" w:hAnsi="Century Gothic" w:cs="Century Gothic"/>
      <w:b/>
      <w:color w:val="000000"/>
      <w:sz w:val="22"/>
    </w:rPr>
  </w:style>
  <w:style w:type="character" w:customStyle="1" w:styleId="footnotemark">
    <w:name w:val="footnote mark"/>
    <w:hidden/>
    <w:rPr>
      <w:rFonts w:ascii="Century Gothic" w:eastAsia="Century Gothic" w:hAnsi="Century Gothic" w:cs="Century Gothic"/>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rrafodelista">
    <w:name w:val="List Paragraph"/>
    <w:basedOn w:val="Normal"/>
    <w:uiPriority w:val="34"/>
    <w:qFormat/>
    <w:rsid w:val="00A23C47"/>
    <w:pPr>
      <w:ind w:left="720"/>
      <w:contextualSpacing/>
    </w:pPr>
  </w:style>
  <w:style w:type="table" w:styleId="Tablaconcuadrcula">
    <w:name w:val="Table Grid"/>
    <w:basedOn w:val="Tablanormal"/>
    <w:uiPriority w:val="39"/>
    <w:rsid w:val="00815A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2"/>
    <w:rsid w:val="00815A16"/>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Default">
    <w:name w:val="Default"/>
    <w:rsid w:val="00815A16"/>
    <w:pPr>
      <w:autoSpaceDE w:val="0"/>
      <w:autoSpaceDN w:val="0"/>
      <w:adjustRightInd w:val="0"/>
      <w:spacing w:after="0" w:line="240" w:lineRule="auto"/>
    </w:pPr>
    <w:rPr>
      <w:rFonts w:ascii="Century Gothic" w:hAnsi="Century Gothic" w:cs="Century Gothic"/>
      <w:color w:val="000000"/>
      <w:sz w:val="24"/>
      <w:szCs w:val="24"/>
    </w:rPr>
  </w:style>
  <w:style w:type="paragraph" w:styleId="Textodeglobo">
    <w:name w:val="Balloon Text"/>
    <w:basedOn w:val="Normal"/>
    <w:link w:val="TextodegloboCar"/>
    <w:uiPriority w:val="99"/>
    <w:semiHidden/>
    <w:unhideWhenUsed/>
    <w:rsid w:val="005712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71237"/>
    <w:rPr>
      <w:rFonts w:ascii="Tahoma" w:eastAsia="Century Gothic"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1544</Words>
  <Characters>8498</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10022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Lara Pozos</dc:creator>
  <cp:lastModifiedBy>Adriana Jaramillo Carvallo</cp:lastModifiedBy>
  <cp:revision>2</cp:revision>
  <cp:lastPrinted>2018-04-23T14:34:00Z</cp:lastPrinted>
  <dcterms:created xsi:type="dcterms:W3CDTF">2018-11-15T03:00:00Z</dcterms:created>
  <dcterms:modified xsi:type="dcterms:W3CDTF">2018-11-15T03:00:00Z</dcterms:modified>
</cp:coreProperties>
</file>